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E6D" w:rsidRDefault="008E040F">
      <w:pPr>
        <w:pStyle w:val="a9"/>
        <w:spacing w:before="15"/>
        <w:rPr>
          <w:rFonts w:ascii="黑体"/>
          <w:lang w:eastAsia="zh-CN"/>
        </w:rPr>
      </w:pPr>
      <w:proofErr w:type="gramStart"/>
      <w:r>
        <w:rPr>
          <w:rFonts w:ascii="黑体"/>
          <w:lang w:eastAsia="zh-CN"/>
        </w:rPr>
        <w:t>ICS  77.150.99</w:t>
      </w:r>
      <w:proofErr w:type="gramEnd"/>
    </w:p>
    <w:p w:rsidR="00DA5E6D" w:rsidRDefault="008E040F">
      <w:pPr>
        <w:pStyle w:val="a9"/>
        <w:spacing w:before="34" w:line="188" w:lineRule="exact"/>
        <w:rPr>
          <w:rFonts w:ascii="黑体"/>
          <w:lang w:eastAsia="zh-CN"/>
        </w:rPr>
      </w:pPr>
      <w:proofErr w:type="gramStart"/>
      <w:r>
        <w:rPr>
          <w:rFonts w:ascii="黑体"/>
          <w:lang w:eastAsia="zh-CN"/>
        </w:rPr>
        <w:t>CCS</w:t>
      </w:r>
      <w:r>
        <w:rPr>
          <w:rFonts w:ascii="黑体" w:hint="eastAsia"/>
          <w:lang w:eastAsia="zh-CN"/>
        </w:rPr>
        <w:t xml:space="preserve"> </w:t>
      </w:r>
      <w:r>
        <w:rPr>
          <w:rFonts w:ascii="黑体"/>
          <w:lang w:eastAsia="zh-CN"/>
        </w:rPr>
        <w:t xml:space="preserve"> </w:t>
      </w:r>
      <w:r>
        <w:rPr>
          <w:rFonts w:ascii="黑体" w:hint="eastAsia"/>
          <w:lang w:eastAsia="zh-CN"/>
        </w:rPr>
        <w:t>H</w:t>
      </w:r>
      <w:r>
        <w:rPr>
          <w:rFonts w:ascii="黑体"/>
          <w:lang w:eastAsia="zh-CN"/>
        </w:rPr>
        <w:t>63</w:t>
      </w:r>
      <w:proofErr w:type="gramEnd"/>
    </w:p>
    <w:p w:rsidR="00DA5E6D" w:rsidRDefault="008E040F">
      <w:pPr>
        <w:spacing w:line="741" w:lineRule="exact"/>
        <w:ind w:left="5882"/>
        <w:rPr>
          <w:rFonts w:ascii="Times New Roman"/>
          <w:b/>
          <w:sz w:val="72"/>
          <w:lang w:eastAsia="zh-CN"/>
        </w:rPr>
      </w:pPr>
      <w:r>
        <w:rPr>
          <w:rFonts w:ascii="Times New Roman" w:hint="eastAsia"/>
          <w:b/>
          <w:w w:val="170"/>
          <w:sz w:val="72"/>
          <w:lang w:eastAsia="zh-CN"/>
        </w:rPr>
        <w:t>N</w:t>
      </w:r>
      <w:r>
        <w:rPr>
          <w:rFonts w:ascii="Times New Roman"/>
          <w:b/>
          <w:w w:val="170"/>
          <w:sz w:val="72"/>
          <w:lang w:eastAsia="zh-CN"/>
        </w:rPr>
        <w:t>PC</w:t>
      </w:r>
      <w:r>
        <w:rPr>
          <w:rFonts w:ascii="Times New Roman" w:hint="eastAsia"/>
          <w:b/>
          <w:w w:val="170"/>
          <w:sz w:val="72"/>
          <w:lang w:eastAsia="zh-CN"/>
        </w:rPr>
        <w:t>A</w:t>
      </w:r>
    </w:p>
    <w:p w:rsidR="00DA5E6D" w:rsidRDefault="00DA5E6D">
      <w:pPr>
        <w:pStyle w:val="a9"/>
        <w:rPr>
          <w:rFonts w:ascii="Times New Roman"/>
          <w:b/>
          <w:sz w:val="20"/>
          <w:lang w:eastAsia="zh-CN"/>
        </w:rPr>
      </w:pPr>
    </w:p>
    <w:p w:rsidR="00DA5E6D" w:rsidRDefault="00DA5E6D">
      <w:pPr>
        <w:pStyle w:val="a9"/>
        <w:spacing w:before="2"/>
        <w:jc w:val="distribute"/>
        <w:rPr>
          <w:rFonts w:ascii="Times New Roman"/>
          <w:b/>
          <w:sz w:val="20"/>
          <w:lang w:eastAsia="zh-CN"/>
        </w:rPr>
      </w:pPr>
    </w:p>
    <w:p w:rsidR="00DA5E6D" w:rsidRDefault="008E040F">
      <w:pPr>
        <w:spacing w:line="581" w:lineRule="exact"/>
        <w:ind w:left="118"/>
        <w:jc w:val="distribute"/>
        <w:rPr>
          <w:rFonts w:ascii="黑体" w:eastAsia="黑体"/>
          <w:sz w:val="48"/>
          <w:lang w:eastAsia="zh-CN"/>
        </w:rPr>
      </w:pPr>
      <w:r>
        <w:rPr>
          <w:rFonts w:ascii="黑体" w:eastAsia="黑体" w:hint="eastAsia"/>
          <w:sz w:val="48"/>
          <w:lang w:eastAsia="zh-CN"/>
        </w:rPr>
        <w:t>宁波市石油和化工行业协会标准</w:t>
      </w:r>
    </w:p>
    <w:p w:rsidR="00DA5E6D" w:rsidRDefault="008E040F">
      <w:pPr>
        <w:spacing w:before="328"/>
        <w:ind w:right="477"/>
        <w:jc w:val="right"/>
        <w:rPr>
          <w:rFonts w:ascii="黑体" w:hAnsi="黑体"/>
          <w:sz w:val="28"/>
          <w:lang w:eastAsia="zh-CN"/>
        </w:rPr>
      </w:pPr>
      <w:r>
        <w:rPr>
          <w:rFonts w:ascii="Times New Roman" w:hAnsi="Times New Roman"/>
          <w:sz w:val="28"/>
          <w:lang w:eastAsia="zh-CN"/>
        </w:rPr>
        <w:t>T/</w:t>
      </w:r>
      <w:r>
        <w:rPr>
          <w:rFonts w:ascii="Times New Roman" w:hAnsi="Times New Roman" w:hint="eastAsia"/>
          <w:sz w:val="28"/>
          <w:lang w:eastAsia="zh-CN"/>
        </w:rPr>
        <w:t>NPCA</w:t>
      </w:r>
      <w:r>
        <w:rPr>
          <w:rFonts w:ascii="Times New Roman" w:hAnsi="Times New Roman"/>
          <w:sz w:val="28"/>
          <w:lang w:eastAsia="zh-CN"/>
        </w:rPr>
        <w:t xml:space="preserve"> </w:t>
      </w:r>
      <w:r>
        <w:rPr>
          <w:rFonts w:ascii="黑体" w:hAnsi="黑体" w:hint="eastAsia"/>
          <w:sz w:val="28"/>
          <w:lang w:eastAsia="zh-CN"/>
        </w:rPr>
        <w:t>****</w:t>
      </w:r>
      <w:r>
        <w:rPr>
          <w:rFonts w:ascii="黑体" w:hAnsi="黑体"/>
          <w:sz w:val="28"/>
          <w:lang w:eastAsia="zh-CN"/>
        </w:rPr>
        <w:t>—2023</w:t>
      </w:r>
    </w:p>
    <w:p w:rsidR="00DA5E6D" w:rsidRDefault="00DA5E6D">
      <w:pPr>
        <w:pStyle w:val="a9"/>
        <w:rPr>
          <w:rFonts w:ascii="黑体"/>
          <w:sz w:val="20"/>
          <w:lang w:eastAsia="zh-CN"/>
        </w:rPr>
      </w:pPr>
    </w:p>
    <w:p w:rsidR="00DA5E6D" w:rsidRDefault="00DA5E6D">
      <w:pPr>
        <w:pStyle w:val="a9"/>
        <w:rPr>
          <w:rFonts w:ascii="黑体"/>
          <w:sz w:val="20"/>
          <w:lang w:eastAsia="zh-CN"/>
        </w:rPr>
      </w:pPr>
    </w:p>
    <w:p w:rsidR="00DA5E6D" w:rsidRDefault="008E040F">
      <w:pPr>
        <w:pStyle w:val="a9"/>
        <w:rPr>
          <w:rFonts w:ascii="黑体"/>
          <w:sz w:val="10"/>
          <w:lang w:eastAsia="zh-CN"/>
        </w:rPr>
      </w:pPr>
      <w:r>
        <w:rPr>
          <w:noProof/>
          <w:lang w:eastAsia="zh-CN"/>
        </w:rPr>
        <mc:AlternateContent>
          <mc:Choice Requires="wps">
            <w:drawing>
              <wp:anchor distT="0" distB="0" distL="114300" distR="114300" simplePos="0" relativeHeight="251659264" behindDoc="0" locked="0" layoutInCell="1" allowOverlap="1">
                <wp:simplePos x="0" y="0"/>
                <wp:positionH relativeFrom="page">
                  <wp:posOffset>899795</wp:posOffset>
                </wp:positionH>
                <wp:positionV relativeFrom="paragraph">
                  <wp:posOffset>112395</wp:posOffset>
                </wp:positionV>
                <wp:extent cx="6120130" cy="0"/>
                <wp:effectExtent l="0" t="0" r="0" b="0"/>
                <wp:wrapTopAndBottom/>
                <wp:docPr id="3"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110" o:spid="_x0000_s1026" o:spt="20" style="position:absolute;left:0pt;margin-left:70.85pt;margin-top:8.85pt;height:0pt;width:481.9pt;mso-position-horizontal-relative:page;mso-wrap-distance-bottom:0pt;mso-wrap-distance-top:0pt;z-index:251659264;mso-width-relative:page;mso-height-relative:page;" filled="f" stroked="t" coordsize="21600,21600" o:gfxdata="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J4MhaTWAAAACgEAAA8AAAAAAAAAAQAgAAAAIgAAAGRycy9k&#10;b3ducmV2LnhtbFBLAQIUABQAAAAIAIdO4kAD4a5+ywEAAKEDAAAOAAAAAAAAAAEAIAAAACUBAABk&#10;cnMvZTJvRG9jLnhtbFBLBQYAAAAABgAGAFkBAABiBQAAAAA=&#10;">
                <v:fill on="f" focussize="0,0"/>
                <v:stroke color="#000000" joinstyle="round"/>
                <v:imagedata o:title=""/>
                <o:lock v:ext="edit" aspectratio="f"/>
                <w10:wrap type="topAndBottom"/>
              </v:line>
            </w:pict>
          </mc:Fallback>
        </mc:AlternateContent>
      </w:r>
    </w:p>
    <w:p w:rsidR="00DA5E6D" w:rsidRDefault="00DA5E6D">
      <w:pPr>
        <w:pStyle w:val="a9"/>
        <w:rPr>
          <w:rFonts w:ascii="黑体"/>
          <w:sz w:val="30"/>
          <w:lang w:eastAsia="zh-CN"/>
        </w:rPr>
      </w:pPr>
    </w:p>
    <w:p w:rsidR="00DA5E6D" w:rsidRDefault="00DA5E6D">
      <w:pPr>
        <w:pStyle w:val="a9"/>
        <w:rPr>
          <w:rFonts w:ascii="黑体"/>
          <w:sz w:val="30"/>
          <w:lang w:eastAsia="zh-CN"/>
        </w:rPr>
      </w:pPr>
    </w:p>
    <w:p w:rsidR="00DA5E6D" w:rsidRDefault="00DA5E6D">
      <w:pPr>
        <w:pStyle w:val="a9"/>
        <w:rPr>
          <w:rFonts w:ascii="黑体"/>
          <w:sz w:val="30"/>
          <w:lang w:eastAsia="zh-CN"/>
        </w:rPr>
      </w:pPr>
    </w:p>
    <w:p w:rsidR="00DA5E6D" w:rsidRDefault="00DA5E6D">
      <w:pPr>
        <w:pStyle w:val="a9"/>
        <w:rPr>
          <w:rFonts w:ascii="黑体"/>
          <w:sz w:val="30"/>
          <w:lang w:eastAsia="zh-CN"/>
        </w:rPr>
      </w:pPr>
    </w:p>
    <w:p w:rsidR="00DA5E6D" w:rsidRDefault="00DA5E6D">
      <w:pPr>
        <w:pStyle w:val="a9"/>
        <w:rPr>
          <w:rFonts w:ascii="黑体"/>
          <w:sz w:val="30"/>
          <w:lang w:eastAsia="zh-CN"/>
        </w:rPr>
      </w:pPr>
    </w:p>
    <w:p w:rsidR="00DA5E6D" w:rsidRDefault="00DA5E6D">
      <w:pPr>
        <w:pStyle w:val="a9"/>
        <w:rPr>
          <w:rFonts w:ascii="黑体"/>
          <w:sz w:val="30"/>
          <w:lang w:eastAsia="zh-CN"/>
        </w:rPr>
      </w:pPr>
    </w:p>
    <w:p w:rsidR="00DA5E6D" w:rsidRDefault="008E040F">
      <w:pPr>
        <w:spacing w:before="249" w:line="360" w:lineRule="auto"/>
        <w:jc w:val="center"/>
        <w:rPr>
          <w:rFonts w:ascii="黑体" w:eastAsia="黑体" w:hAnsi="黑体"/>
          <w:b/>
          <w:sz w:val="52"/>
          <w:szCs w:val="52"/>
          <w:lang w:eastAsia="zh-CN"/>
        </w:rPr>
      </w:pPr>
      <w:r w:rsidRPr="00DB04F7">
        <w:rPr>
          <w:rFonts w:ascii="黑体" w:eastAsia="黑体" w:hAnsi="黑体" w:hint="eastAsia"/>
          <w:b/>
          <w:sz w:val="52"/>
          <w:szCs w:val="52"/>
          <w:lang w:eastAsia="zh-CN"/>
        </w:rPr>
        <w:t>工业用低醛环氧乙烷</w:t>
      </w:r>
    </w:p>
    <w:p w:rsidR="00DA5E6D" w:rsidRPr="00DB04F7" w:rsidRDefault="008E040F">
      <w:pPr>
        <w:spacing w:before="249" w:line="360" w:lineRule="auto"/>
        <w:jc w:val="center"/>
        <w:rPr>
          <w:rFonts w:ascii="黑体" w:eastAsia="黑体" w:hAnsi="黑体" w:cs="黑体"/>
          <w:color w:val="333333"/>
          <w:sz w:val="28"/>
          <w:szCs w:val="28"/>
          <w:shd w:val="clear" w:color="auto" w:fill="FFFFFF"/>
        </w:rPr>
      </w:pPr>
      <w:r w:rsidRPr="00DB04F7">
        <w:rPr>
          <w:rFonts w:ascii="黑体" w:eastAsia="黑体" w:hAnsi="黑体" w:cs="黑体"/>
          <w:color w:val="333333"/>
          <w:sz w:val="28"/>
          <w:szCs w:val="28"/>
          <w:shd w:val="clear" w:color="auto" w:fill="FFFFFF"/>
        </w:rPr>
        <w:t xml:space="preserve">Low aldehyde </w:t>
      </w:r>
      <w:proofErr w:type="spellStart"/>
      <w:r w:rsidRPr="00DB04F7">
        <w:rPr>
          <w:rFonts w:ascii="黑体" w:eastAsia="黑体" w:hAnsi="黑体" w:cs="黑体"/>
          <w:color w:val="333333"/>
          <w:sz w:val="28"/>
          <w:szCs w:val="28"/>
          <w:shd w:val="clear" w:color="auto" w:fill="FFFFFF"/>
        </w:rPr>
        <w:t>oxirane</w:t>
      </w:r>
      <w:proofErr w:type="spellEnd"/>
      <w:r w:rsidRPr="00DB04F7">
        <w:rPr>
          <w:rFonts w:ascii="黑体" w:eastAsia="黑体" w:hAnsi="黑体" w:cs="黑体"/>
          <w:color w:val="333333"/>
          <w:sz w:val="28"/>
          <w:szCs w:val="28"/>
          <w:shd w:val="clear" w:color="auto" w:fill="FFFFFF"/>
        </w:rPr>
        <w:t xml:space="preserve"> for industrial use</w:t>
      </w:r>
    </w:p>
    <w:p w:rsidR="00DA5E6D" w:rsidRPr="00DB04F7" w:rsidRDefault="008E040F" w:rsidP="00DB04F7">
      <w:pPr>
        <w:pStyle w:val="2"/>
        <w:spacing w:before="209"/>
        <w:ind w:left="0" w:right="4238" w:firstLineChars="1700" w:firstLine="4080"/>
        <w:rPr>
          <w:rFonts w:ascii="黑体" w:eastAsia="黑体" w:hAnsi="黑体" w:cs="黑体"/>
          <w:lang w:eastAsia="zh-CN"/>
        </w:rPr>
      </w:pPr>
      <w:r w:rsidRPr="00DB04F7">
        <w:rPr>
          <w:rFonts w:ascii="黑体" w:eastAsia="黑体" w:hAnsi="黑体" w:cs="黑体"/>
          <w:lang w:eastAsia="zh-CN"/>
        </w:rPr>
        <w:t>（</w:t>
      </w:r>
      <w:r w:rsidR="00E92E43">
        <w:rPr>
          <w:rFonts w:ascii="黑体" w:eastAsia="黑体" w:hAnsi="黑体" w:cs="黑体" w:hint="eastAsia"/>
          <w:lang w:eastAsia="zh-CN"/>
        </w:rPr>
        <w:t>送审</w:t>
      </w:r>
      <w:r w:rsidRPr="00DB04F7">
        <w:rPr>
          <w:rFonts w:ascii="黑体" w:eastAsia="黑体" w:hAnsi="黑体" w:cs="黑体"/>
          <w:lang w:eastAsia="zh-CN"/>
        </w:rPr>
        <w:t>稿）</w:t>
      </w:r>
      <w:bookmarkStart w:id="0" w:name="_GoBack"/>
      <w:bookmarkEnd w:id="0"/>
    </w:p>
    <w:p w:rsidR="00DA5E6D" w:rsidRDefault="00DA5E6D">
      <w:pPr>
        <w:pStyle w:val="a9"/>
        <w:rPr>
          <w:sz w:val="20"/>
          <w:lang w:eastAsia="zh-CN"/>
        </w:rPr>
      </w:pPr>
    </w:p>
    <w:p w:rsidR="00DA5E6D" w:rsidRDefault="00DA5E6D">
      <w:pPr>
        <w:pStyle w:val="a9"/>
        <w:rPr>
          <w:sz w:val="20"/>
          <w:lang w:eastAsia="zh-CN"/>
        </w:rPr>
      </w:pPr>
    </w:p>
    <w:p w:rsidR="00DA5E6D" w:rsidRDefault="00DA5E6D">
      <w:pPr>
        <w:pStyle w:val="a9"/>
        <w:rPr>
          <w:sz w:val="20"/>
          <w:lang w:eastAsia="zh-CN"/>
        </w:rPr>
      </w:pPr>
    </w:p>
    <w:p w:rsidR="00DA5E6D" w:rsidRDefault="00DA5E6D">
      <w:pPr>
        <w:pStyle w:val="a9"/>
        <w:rPr>
          <w:sz w:val="20"/>
          <w:lang w:eastAsia="zh-CN"/>
        </w:rPr>
      </w:pPr>
    </w:p>
    <w:p w:rsidR="00DA5E6D" w:rsidRDefault="00DA5E6D">
      <w:pPr>
        <w:pStyle w:val="a9"/>
        <w:rPr>
          <w:sz w:val="20"/>
          <w:lang w:eastAsia="zh-CN"/>
        </w:rPr>
      </w:pPr>
    </w:p>
    <w:p w:rsidR="00DA5E6D" w:rsidRDefault="00DA5E6D">
      <w:pPr>
        <w:pStyle w:val="a9"/>
        <w:rPr>
          <w:sz w:val="20"/>
          <w:lang w:eastAsia="zh-CN"/>
        </w:rPr>
      </w:pPr>
    </w:p>
    <w:p w:rsidR="00DA5E6D" w:rsidRDefault="00DA5E6D">
      <w:pPr>
        <w:pStyle w:val="a9"/>
        <w:rPr>
          <w:sz w:val="20"/>
          <w:lang w:eastAsia="zh-CN"/>
        </w:rPr>
      </w:pPr>
    </w:p>
    <w:p w:rsidR="00DA5E6D" w:rsidRDefault="00DA5E6D">
      <w:pPr>
        <w:pStyle w:val="a9"/>
        <w:rPr>
          <w:sz w:val="20"/>
          <w:lang w:eastAsia="zh-CN"/>
        </w:rPr>
      </w:pPr>
    </w:p>
    <w:p w:rsidR="00DA5E6D" w:rsidRDefault="00DA5E6D">
      <w:pPr>
        <w:pStyle w:val="a9"/>
        <w:rPr>
          <w:sz w:val="20"/>
          <w:lang w:eastAsia="zh-CN"/>
        </w:rPr>
      </w:pPr>
    </w:p>
    <w:p w:rsidR="00DA5E6D" w:rsidRDefault="00DA5E6D">
      <w:pPr>
        <w:pStyle w:val="a9"/>
        <w:rPr>
          <w:sz w:val="20"/>
          <w:lang w:eastAsia="zh-CN"/>
        </w:rPr>
      </w:pPr>
    </w:p>
    <w:p w:rsidR="00DA5E6D" w:rsidRDefault="00DA5E6D">
      <w:pPr>
        <w:pStyle w:val="a9"/>
        <w:rPr>
          <w:sz w:val="20"/>
          <w:lang w:eastAsia="zh-CN"/>
        </w:rPr>
      </w:pPr>
    </w:p>
    <w:p w:rsidR="00DA5E6D" w:rsidRDefault="00DA5E6D">
      <w:pPr>
        <w:pStyle w:val="a9"/>
        <w:rPr>
          <w:sz w:val="20"/>
          <w:lang w:eastAsia="zh-CN"/>
        </w:rPr>
      </w:pPr>
    </w:p>
    <w:p w:rsidR="00DA5E6D" w:rsidRDefault="00DA5E6D">
      <w:pPr>
        <w:pStyle w:val="a9"/>
        <w:rPr>
          <w:sz w:val="20"/>
          <w:lang w:eastAsia="zh-CN"/>
        </w:rPr>
      </w:pPr>
    </w:p>
    <w:p w:rsidR="00DA5E6D" w:rsidRDefault="00DA5E6D">
      <w:pPr>
        <w:pStyle w:val="a9"/>
        <w:rPr>
          <w:sz w:val="20"/>
          <w:lang w:eastAsia="zh-CN"/>
        </w:rPr>
      </w:pPr>
    </w:p>
    <w:p w:rsidR="00DA5E6D" w:rsidRDefault="00DA5E6D">
      <w:pPr>
        <w:pStyle w:val="a9"/>
        <w:rPr>
          <w:sz w:val="20"/>
          <w:lang w:eastAsia="zh-CN"/>
        </w:rPr>
      </w:pPr>
    </w:p>
    <w:p w:rsidR="00DA5E6D" w:rsidRDefault="00DA5E6D">
      <w:pPr>
        <w:pStyle w:val="a9"/>
        <w:rPr>
          <w:sz w:val="20"/>
          <w:lang w:eastAsia="zh-CN"/>
        </w:rPr>
      </w:pPr>
    </w:p>
    <w:p w:rsidR="00DA5E6D" w:rsidRDefault="00DA5E6D">
      <w:pPr>
        <w:pStyle w:val="a9"/>
        <w:rPr>
          <w:sz w:val="20"/>
          <w:lang w:eastAsia="zh-CN"/>
        </w:rPr>
      </w:pPr>
    </w:p>
    <w:p w:rsidR="00DA5E6D" w:rsidRDefault="00DA5E6D">
      <w:pPr>
        <w:pStyle w:val="a9"/>
        <w:rPr>
          <w:sz w:val="20"/>
          <w:lang w:eastAsia="zh-CN"/>
        </w:rPr>
      </w:pPr>
    </w:p>
    <w:p w:rsidR="00DA5E6D" w:rsidRDefault="008E040F">
      <w:pPr>
        <w:tabs>
          <w:tab w:val="left" w:pos="7473"/>
        </w:tabs>
        <w:spacing w:before="189"/>
        <w:ind w:left="118"/>
        <w:rPr>
          <w:rFonts w:ascii="黑体" w:eastAsia="黑体"/>
          <w:sz w:val="28"/>
          <w:lang w:eastAsia="zh-CN"/>
        </w:rPr>
      </w:pPr>
      <w:r>
        <w:rPr>
          <w:rFonts w:ascii="黑体" w:eastAsia="黑体" w:hint="eastAsia"/>
          <w:sz w:val="28"/>
          <w:lang w:eastAsia="zh-CN"/>
        </w:rPr>
        <w:t>202X</w:t>
      </w:r>
      <w:r>
        <w:rPr>
          <w:rFonts w:ascii="黑体" w:eastAsia="黑体" w:hint="eastAsia"/>
          <w:spacing w:val="-70"/>
          <w:sz w:val="28"/>
          <w:lang w:eastAsia="zh-CN"/>
        </w:rPr>
        <w:t xml:space="preserve"> </w:t>
      </w:r>
      <w:r>
        <w:rPr>
          <w:rFonts w:ascii="黑体" w:eastAsia="黑体" w:hint="eastAsia"/>
          <w:sz w:val="28"/>
          <w:lang w:eastAsia="zh-CN"/>
        </w:rPr>
        <w:t>-</w:t>
      </w:r>
      <w:r>
        <w:rPr>
          <w:rFonts w:ascii="黑体" w:eastAsia="黑体" w:hint="eastAsia"/>
          <w:spacing w:val="-72"/>
          <w:sz w:val="28"/>
          <w:lang w:eastAsia="zh-CN"/>
        </w:rPr>
        <w:t xml:space="preserve"> </w:t>
      </w:r>
      <w:r>
        <w:rPr>
          <w:rFonts w:ascii="黑体" w:eastAsia="黑体" w:hint="eastAsia"/>
          <w:sz w:val="28"/>
          <w:lang w:eastAsia="zh-CN"/>
        </w:rPr>
        <w:t>XX</w:t>
      </w:r>
      <w:r>
        <w:rPr>
          <w:rFonts w:ascii="黑体" w:eastAsia="黑体" w:hint="eastAsia"/>
          <w:spacing w:val="-72"/>
          <w:sz w:val="28"/>
          <w:lang w:eastAsia="zh-CN"/>
        </w:rPr>
        <w:t xml:space="preserve"> </w:t>
      </w:r>
      <w:r>
        <w:rPr>
          <w:rFonts w:ascii="黑体" w:eastAsia="黑体" w:hint="eastAsia"/>
          <w:sz w:val="28"/>
          <w:lang w:eastAsia="zh-CN"/>
        </w:rPr>
        <w:t>-</w:t>
      </w:r>
      <w:r>
        <w:rPr>
          <w:rFonts w:ascii="黑体" w:eastAsia="黑体" w:hint="eastAsia"/>
          <w:spacing w:val="-70"/>
          <w:sz w:val="28"/>
          <w:lang w:eastAsia="zh-CN"/>
        </w:rPr>
        <w:t xml:space="preserve"> </w:t>
      </w:r>
      <w:r>
        <w:rPr>
          <w:rFonts w:ascii="黑体" w:eastAsia="黑体" w:hint="eastAsia"/>
          <w:sz w:val="28"/>
          <w:lang w:eastAsia="zh-CN"/>
        </w:rPr>
        <w:t>XX</w:t>
      </w:r>
      <w:r>
        <w:rPr>
          <w:rFonts w:ascii="黑体" w:eastAsia="黑体" w:hint="eastAsia"/>
          <w:spacing w:val="-72"/>
          <w:sz w:val="28"/>
          <w:lang w:eastAsia="zh-CN"/>
        </w:rPr>
        <w:t xml:space="preserve"> </w:t>
      </w:r>
      <w:r>
        <w:rPr>
          <w:rFonts w:ascii="黑体" w:eastAsia="黑体" w:hint="eastAsia"/>
          <w:sz w:val="28"/>
          <w:lang w:eastAsia="zh-CN"/>
        </w:rPr>
        <w:t>发布</w:t>
      </w:r>
      <w:r>
        <w:rPr>
          <w:rFonts w:ascii="黑体" w:eastAsia="黑体" w:hint="eastAsia"/>
          <w:sz w:val="28"/>
          <w:lang w:eastAsia="zh-CN"/>
        </w:rPr>
        <w:tab/>
        <w:t>202X-</w:t>
      </w:r>
      <w:r>
        <w:rPr>
          <w:rFonts w:ascii="黑体" w:eastAsia="黑体" w:hint="eastAsia"/>
          <w:spacing w:val="-72"/>
          <w:sz w:val="28"/>
          <w:lang w:eastAsia="zh-CN"/>
        </w:rPr>
        <w:t xml:space="preserve"> </w:t>
      </w:r>
      <w:r>
        <w:rPr>
          <w:rFonts w:ascii="黑体" w:eastAsia="黑体" w:hint="eastAsia"/>
          <w:sz w:val="28"/>
          <w:lang w:eastAsia="zh-CN"/>
        </w:rPr>
        <w:t>XX</w:t>
      </w:r>
      <w:r>
        <w:rPr>
          <w:rFonts w:ascii="黑体" w:eastAsia="黑体" w:hint="eastAsia"/>
          <w:spacing w:val="-72"/>
          <w:sz w:val="28"/>
          <w:lang w:eastAsia="zh-CN"/>
        </w:rPr>
        <w:t xml:space="preserve"> </w:t>
      </w:r>
      <w:r>
        <w:rPr>
          <w:rFonts w:ascii="黑体" w:eastAsia="黑体" w:hint="eastAsia"/>
          <w:sz w:val="28"/>
          <w:lang w:eastAsia="zh-CN"/>
        </w:rPr>
        <w:t>-</w:t>
      </w:r>
      <w:r>
        <w:rPr>
          <w:rFonts w:ascii="黑体" w:eastAsia="黑体" w:hint="eastAsia"/>
          <w:spacing w:val="-70"/>
          <w:sz w:val="28"/>
          <w:lang w:eastAsia="zh-CN"/>
        </w:rPr>
        <w:t xml:space="preserve"> </w:t>
      </w:r>
      <w:r>
        <w:rPr>
          <w:rFonts w:ascii="黑体" w:eastAsia="黑体" w:hint="eastAsia"/>
          <w:sz w:val="28"/>
          <w:lang w:eastAsia="zh-CN"/>
        </w:rPr>
        <w:t>XX</w:t>
      </w:r>
      <w:r>
        <w:rPr>
          <w:rFonts w:ascii="黑体" w:eastAsia="黑体" w:hint="eastAsia"/>
          <w:spacing w:val="-72"/>
          <w:sz w:val="28"/>
          <w:lang w:eastAsia="zh-CN"/>
        </w:rPr>
        <w:t xml:space="preserve"> </w:t>
      </w:r>
      <w:r>
        <w:rPr>
          <w:rFonts w:ascii="黑体" w:eastAsia="黑体" w:hint="eastAsia"/>
          <w:sz w:val="28"/>
          <w:lang w:eastAsia="zh-CN"/>
        </w:rPr>
        <w:t>实施</w:t>
      </w:r>
    </w:p>
    <w:p w:rsidR="00DA5E6D" w:rsidRDefault="008E040F">
      <w:pPr>
        <w:pStyle w:val="a9"/>
        <w:spacing w:before="5"/>
        <w:rPr>
          <w:rFonts w:ascii="黑体"/>
          <w:sz w:val="12"/>
          <w:lang w:eastAsia="zh-CN"/>
        </w:rPr>
      </w:pPr>
      <w:r>
        <w:rPr>
          <w:noProof/>
          <w:lang w:eastAsia="zh-CN"/>
        </w:rPr>
        <mc:AlternateContent>
          <mc:Choice Requires="wps">
            <w:drawing>
              <wp:anchor distT="0" distB="0" distL="114300" distR="114300" simplePos="0" relativeHeight="251660288" behindDoc="0" locked="0" layoutInCell="1" allowOverlap="1" wp14:anchorId="4D842946" wp14:editId="62304136">
                <wp:simplePos x="0" y="0"/>
                <wp:positionH relativeFrom="page">
                  <wp:posOffset>939800</wp:posOffset>
                </wp:positionH>
                <wp:positionV relativeFrom="paragraph">
                  <wp:posOffset>138430</wp:posOffset>
                </wp:positionV>
                <wp:extent cx="6134100" cy="0"/>
                <wp:effectExtent l="0" t="0" r="0" b="0"/>
                <wp:wrapTopAndBottom/>
                <wp:docPr id="2"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109" o:spid="_x0000_s1026" o:spt="20" style="position:absolute;left:0pt;margin-left:74pt;margin-top:10.9pt;height:0pt;width:483pt;mso-position-horizontal-relative:page;mso-wrap-distance-bottom:0pt;mso-wrap-distance-top:0pt;z-index:251660288;mso-width-relative:page;mso-height-relative:page;" filled="f" stroked="t" coordsize="21600,21600" o:gfxdata="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IJfgPtUAAAAKAQAADwAAAAAAAAABACAAAAAiAAAAZHJzL2Rv&#10;d25yZXYueG1sUEsBAhQAFAAAAAgAh07iQGOgPXXLAQAAoQMAAA4AAAAAAAAAAQAgAAAAJAEAAGRy&#10;cy9lMm9Eb2MueG1sUEsFBgAAAAAGAAYAWQEAAGEFAAAAAA==&#10;">
                <v:fill on="f" focussize="0,0"/>
                <v:stroke color="#000000" joinstyle="round"/>
                <v:imagedata o:title=""/>
                <o:lock v:ext="edit" aspectratio="f"/>
                <w10:wrap type="topAndBottom"/>
              </v:line>
            </w:pict>
          </mc:Fallback>
        </mc:AlternateContent>
      </w:r>
    </w:p>
    <w:p w:rsidR="00DA5E6D" w:rsidRDefault="008E040F" w:rsidP="00DB04F7">
      <w:pPr>
        <w:tabs>
          <w:tab w:val="left" w:pos="7181"/>
        </w:tabs>
        <w:spacing w:before="204"/>
        <w:ind w:left="1556"/>
        <w:rPr>
          <w:rFonts w:ascii="黑体" w:eastAsia="黑体"/>
          <w:sz w:val="28"/>
          <w:lang w:eastAsia="zh-CN"/>
        </w:rPr>
        <w:sectPr w:rsidR="00DA5E6D">
          <w:type w:val="continuous"/>
          <w:pgSz w:w="11910" w:h="16840"/>
          <w:pgMar w:top="520" w:right="640" w:bottom="280" w:left="1300" w:header="720" w:footer="720" w:gutter="0"/>
          <w:cols w:space="720"/>
          <w:titlePg/>
          <w:docGrid w:linePitch="299"/>
        </w:sectPr>
      </w:pPr>
      <w:r>
        <w:rPr>
          <w:rFonts w:ascii="黑体" w:eastAsia="黑体" w:hint="eastAsia"/>
          <w:spacing w:val="36"/>
          <w:w w:val="115"/>
          <w:sz w:val="44"/>
          <w:szCs w:val="44"/>
          <w:lang w:eastAsia="zh-CN"/>
        </w:rPr>
        <w:t>宁波市石油和化工行业协会</w:t>
      </w:r>
      <w:r>
        <w:rPr>
          <w:rFonts w:ascii="黑体" w:eastAsia="黑体" w:hint="eastAsia"/>
          <w:spacing w:val="36"/>
          <w:w w:val="115"/>
          <w:sz w:val="28"/>
          <w:lang w:eastAsia="zh-CN"/>
        </w:rPr>
        <w:tab/>
      </w:r>
      <w:r>
        <w:rPr>
          <w:rFonts w:ascii="黑体" w:eastAsia="黑体" w:hint="eastAsia"/>
          <w:w w:val="115"/>
          <w:position w:val="3"/>
          <w:sz w:val="28"/>
          <w:lang w:eastAsia="zh-CN"/>
        </w:rPr>
        <w:t>发</w:t>
      </w:r>
      <w:r>
        <w:rPr>
          <w:rFonts w:ascii="黑体" w:eastAsia="黑体" w:hint="eastAsia"/>
          <w:spacing w:val="-76"/>
          <w:w w:val="115"/>
          <w:position w:val="3"/>
          <w:sz w:val="28"/>
          <w:lang w:eastAsia="zh-CN"/>
        </w:rPr>
        <w:t xml:space="preserve"> </w:t>
      </w:r>
      <w:r>
        <w:rPr>
          <w:rFonts w:ascii="黑体" w:eastAsia="黑体" w:hint="eastAsia"/>
          <w:w w:val="115"/>
          <w:position w:val="3"/>
          <w:sz w:val="28"/>
          <w:lang w:eastAsia="zh-CN"/>
        </w:rPr>
        <w:t xml:space="preserve">布 </w:t>
      </w:r>
    </w:p>
    <w:p w:rsidR="00DA5E6D" w:rsidRDefault="008E040F">
      <w:pPr>
        <w:keepNext/>
        <w:pageBreakBefore/>
        <w:widowControl/>
        <w:shd w:val="clear" w:color="FFFFFF" w:fill="FFFFFF"/>
        <w:autoSpaceDE/>
        <w:autoSpaceDN/>
        <w:spacing w:before="640" w:after="560"/>
        <w:jc w:val="center"/>
        <w:outlineLvl w:val="0"/>
        <w:rPr>
          <w:rFonts w:ascii="黑体" w:eastAsia="黑体" w:hAnsi="Times New Roman" w:cs="Times New Roman"/>
          <w:sz w:val="32"/>
          <w:szCs w:val="20"/>
          <w:lang w:eastAsia="zh-CN"/>
        </w:rPr>
      </w:pPr>
      <w:r>
        <w:rPr>
          <w:rFonts w:ascii="黑体" w:eastAsia="黑体" w:hAnsi="Times New Roman" w:cs="Times New Roman" w:hint="eastAsia"/>
          <w:sz w:val="32"/>
          <w:szCs w:val="20"/>
          <w:lang w:eastAsia="zh-CN"/>
        </w:rPr>
        <w:lastRenderedPageBreak/>
        <w:t>前</w:t>
      </w:r>
      <w:r>
        <w:rPr>
          <w:rFonts w:ascii="MS Mincho" w:eastAsia="MS Mincho" w:hAnsi="MS Mincho" w:cs="MS Mincho" w:hint="eastAsia"/>
          <w:sz w:val="32"/>
          <w:szCs w:val="20"/>
          <w:lang w:eastAsia="zh-CN"/>
        </w:rPr>
        <w:t>  </w:t>
      </w:r>
      <w:r>
        <w:rPr>
          <w:rFonts w:ascii="黑体" w:eastAsia="黑体" w:hAnsi="Times New Roman" w:cs="Times New Roman" w:hint="eastAsia"/>
          <w:sz w:val="32"/>
          <w:szCs w:val="20"/>
          <w:lang w:eastAsia="zh-CN"/>
        </w:rPr>
        <w:t>言</w:t>
      </w:r>
    </w:p>
    <w:p w:rsidR="00DA5E6D" w:rsidRDefault="008E040F" w:rsidP="00DB04F7">
      <w:pPr>
        <w:widowControl/>
        <w:tabs>
          <w:tab w:val="center" w:pos="4201"/>
          <w:tab w:val="right" w:leader="dot" w:pos="9298"/>
        </w:tabs>
        <w:ind w:firstLineChars="200" w:firstLine="420"/>
        <w:jc w:val="both"/>
        <w:rPr>
          <w:rFonts w:ascii="Times New Roman" w:hAnsi="Times New Roman" w:cs="Times New Roman"/>
          <w:sz w:val="21"/>
          <w:szCs w:val="20"/>
          <w:lang w:eastAsia="zh-CN"/>
        </w:rPr>
      </w:pPr>
      <w:r>
        <w:rPr>
          <w:rFonts w:ascii="Times New Roman" w:hAnsi="Times New Roman" w:cs="Times New Roman" w:hint="eastAsia"/>
          <w:sz w:val="21"/>
          <w:szCs w:val="20"/>
          <w:lang w:eastAsia="zh-CN"/>
        </w:rPr>
        <w:t>本文件按照</w:t>
      </w:r>
      <w:r>
        <w:rPr>
          <w:rFonts w:ascii="Times New Roman" w:hAnsi="Times New Roman" w:cs="Times New Roman" w:hint="eastAsia"/>
          <w:sz w:val="21"/>
          <w:szCs w:val="20"/>
          <w:lang w:eastAsia="zh-CN"/>
        </w:rPr>
        <w:t>GB/T 1.1</w:t>
      </w:r>
      <w:r>
        <w:rPr>
          <w:rFonts w:ascii="Times New Roman" w:hAnsi="Times New Roman" w:cs="Times New Roman" w:hint="eastAsia"/>
          <w:sz w:val="21"/>
          <w:szCs w:val="20"/>
          <w:lang w:eastAsia="zh-CN"/>
        </w:rPr>
        <w:t>—</w:t>
      </w:r>
      <w:r>
        <w:rPr>
          <w:rFonts w:ascii="Times New Roman" w:hAnsi="Times New Roman" w:cs="Times New Roman" w:hint="eastAsia"/>
          <w:sz w:val="21"/>
          <w:szCs w:val="20"/>
          <w:lang w:eastAsia="zh-CN"/>
        </w:rPr>
        <w:t>2020</w:t>
      </w:r>
      <w:r>
        <w:rPr>
          <w:rFonts w:ascii="Times New Roman" w:hAnsi="Times New Roman" w:cs="Times New Roman" w:hint="eastAsia"/>
          <w:sz w:val="21"/>
          <w:szCs w:val="20"/>
          <w:lang w:eastAsia="zh-CN"/>
        </w:rPr>
        <w:t>《标准化工作导则</w:t>
      </w:r>
      <w:r>
        <w:rPr>
          <w:rFonts w:ascii="Times New Roman" w:hAnsi="Times New Roman" w:cs="Times New Roman" w:hint="eastAsia"/>
          <w:sz w:val="21"/>
          <w:szCs w:val="20"/>
          <w:lang w:eastAsia="zh-CN"/>
        </w:rPr>
        <w:t xml:space="preserve">  </w:t>
      </w:r>
      <w:r>
        <w:rPr>
          <w:rFonts w:ascii="Times New Roman" w:hAnsi="Times New Roman" w:cs="Times New Roman" w:hint="eastAsia"/>
          <w:sz w:val="21"/>
          <w:szCs w:val="20"/>
          <w:lang w:eastAsia="zh-CN"/>
        </w:rPr>
        <w:t>第</w:t>
      </w:r>
      <w:r>
        <w:rPr>
          <w:rFonts w:ascii="Times New Roman" w:hAnsi="Times New Roman" w:cs="Times New Roman" w:hint="eastAsia"/>
          <w:sz w:val="21"/>
          <w:szCs w:val="20"/>
          <w:lang w:eastAsia="zh-CN"/>
        </w:rPr>
        <w:t>1</w:t>
      </w:r>
      <w:r>
        <w:rPr>
          <w:rFonts w:ascii="Times New Roman" w:hAnsi="Times New Roman" w:cs="Times New Roman" w:hint="eastAsia"/>
          <w:sz w:val="21"/>
          <w:szCs w:val="20"/>
          <w:lang w:eastAsia="zh-CN"/>
        </w:rPr>
        <w:t>部分：标准化文件的结构和起草规则》的规定起草。</w:t>
      </w:r>
    </w:p>
    <w:p w:rsidR="00DA5E6D" w:rsidRDefault="008E040F" w:rsidP="00DB04F7">
      <w:pPr>
        <w:widowControl/>
        <w:tabs>
          <w:tab w:val="center" w:pos="4201"/>
          <w:tab w:val="right" w:leader="dot" w:pos="9298"/>
        </w:tabs>
        <w:ind w:firstLineChars="200" w:firstLine="420"/>
        <w:jc w:val="both"/>
        <w:rPr>
          <w:rFonts w:ascii="Times New Roman" w:hAnsi="Times New Roman" w:cs="Times New Roman"/>
          <w:sz w:val="21"/>
          <w:szCs w:val="20"/>
          <w:lang w:eastAsia="zh-CN"/>
        </w:rPr>
      </w:pPr>
      <w:r>
        <w:rPr>
          <w:rFonts w:ascii="Times New Roman" w:hAnsi="Times New Roman" w:cs="Times New Roman" w:hint="eastAsia"/>
          <w:sz w:val="21"/>
          <w:szCs w:val="20"/>
          <w:lang w:eastAsia="zh-CN"/>
        </w:rPr>
        <w:t>请注意本文件的某些内容可能涉及专利。本文件的发布机构不承担识别专利的责任。</w:t>
      </w:r>
    </w:p>
    <w:p w:rsidR="00DA5E6D" w:rsidRDefault="008E040F" w:rsidP="00DB04F7">
      <w:pPr>
        <w:widowControl/>
        <w:tabs>
          <w:tab w:val="center" w:pos="4201"/>
          <w:tab w:val="right" w:leader="dot" w:pos="9298"/>
        </w:tabs>
        <w:ind w:firstLineChars="200" w:firstLine="420"/>
        <w:jc w:val="both"/>
        <w:rPr>
          <w:rFonts w:ascii="Times New Roman" w:hAnsi="Times New Roman" w:cs="Times New Roman"/>
          <w:sz w:val="21"/>
          <w:szCs w:val="20"/>
          <w:lang w:eastAsia="zh-CN"/>
        </w:rPr>
      </w:pPr>
      <w:r>
        <w:rPr>
          <w:rFonts w:ascii="Times New Roman" w:hAnsi="Times New Roman" w:cs="Times New Roman"/>
          <w:sz w:val="21"/>
          <w:szCs w:val="20"/>
          <w:lang w:eastAsia="zh-CN"/>
        </w:rPr>
        <w:t>本</w:t>
      </w:r>
      <w:r>
        <w:rPr>
          <w:rFonts w:ascii="Times New Roman" w:hAnsi="Times New Roman" w:cs="Times New Roman" w:hint="eastAsia"/>
          <w:sz w:val="21"/>
          <w:szCs w:val="20"/>
          <w:lang w:eastAsia="zh-CN"/>
        </w:rPr>
        <w:t>文件</w:t>
      </w:r>
      <w:r>
        <w:rPr>
          <w:rFonts w:ascii="Times New Roman" w:hAnsi="Times New Roman" w:cs="Times New Roman"/>
          <w:sz w:val="21"/>
          <w:szCs w:val="20"/>
          <w:lang w:eastAsia="zh-CN"/>
        </w:rPr>
        <w:t>由宁波市石油和化工行业协会提出。</w:t>
      </w:r>
    </w:p>
    <w:p w:rsidR="00DA5E6D" w:rsidRDefault="008E040F" w:rsidP="00DB04F7">
      <w:pPr>
        <w:widowControl/>
        <w:tabs>
          <w:tab w:val="center" w:pos="4201"/>
          <w:tab w:val="right" w:leader="dot" w:pos="9298"/>
        </w:tabs>
        <w:ind w:firstLineChars="200" w:firstLine="420"/>
        <w:jc w:val="both"/>
        <w:rPr>
          <w:rFonts w:ascii="Times New Roman" w:hAnsi="Times New Roman" w:cs="Times New Roman"/>
          <w:sz w:val="21"/>
          <w:szCs w:val="20"/>
          <w:lang w:eastAsia="zh-CN"/>
        </w:rPr>
      </w:pPr>
      <w:r>
        <w:rPr>
          <w:rFonts w:ascii="Times New Roman" w:hAnsi="Times New Roman" w:cs="Times New Roman"/>
          <w:sz w:val="21"/>
          <w:szCs w:val="20"/>
          <w:lang w:eastAsia="zh-CN"/>
        </w:rPr>
        <w:t>本</w:t>
      </w:r>
      <w:r>
        <w:rPr>
          <w:rFonts w:ascii="Times New Roman" w:hAnsi="Times New Roman" w:cs="Times New Roman" w:hint="eastAsia"/>
          <w:sz w:val="21"/>
          <w:szCs w:val="20"/>
          <w:lang w:eastAsia="zh-CN"/>
        </w:rPr>
        <w:t>文件</w:t>
      </w:r>
      <w:r>
        <w:rPr>
          <w:rFonts w:ascii="Times New Roman" w:hAnsi="Times New Roman" w:cs="Times New Roman"/>
          <w:sz w:val="21"/>
          <w:szCs w:val="20"/>
          <w:lang w:eastAsia="zh-CN"/>
        </w:rPr>
        <w:t>由宁波市石油和化工行业协会归口。</w:t>
      </w:r>
    </w:p>
    <w:p w:rsidR="00DA5E6D" w:rsidRDefault="008E040F" w:rsidP="00DB04F7">
      <w:pPr>
        <w:widowControl/>
        <w:tabs>
          <w:tab w:val="center" w:pos="4201"/>
          <w:tab w:val="right" w:leader="dot" w:pos="9298"/>
        </w:tabs>
        <w:ind w:firstLineChars="200" w:firstLine="420"/>
        <w:jc w:val="both"/>
        <w:rPr>
          <w:rFonts w:ascii="Times New Roman" w:hAnsi="Times New Roman" w:cs="Times New Roman"/>
          <w:sz w:val="21"/>
          <w:szCs w:val="20"/>
          <w:lang w:eastAsia="zh-CN"/>
        </w:rPr>
      </w:pPr>
      <w:r>
        <w:rPr>
          <w:rFonts w:ascii="Times New Roman" w:hAnsi="Times New Roman" w:cs="Times New Roman"/>
          <w:sz w:val="21"/>
          <w:szCs w:val="20"/>
          <w:lang w:eastAsia="zh-CN"/>
        </w:rPr>
        <w:t>本</w:t>
      </w:r>
      <w:r>
        <w:rPr>
          <w:rFonts w:ascii="Times New Roman" w:hAnsi="Times New Roman" w:cs="Times New Roman" w:hint="eastAsia"/>
          <w:sz w:val="21"/>
          <w:szCs w:val="20"/>
          <w:lang w:eastAsia="zh-CN"/>
        </w:rPr>
        <w:t>文件</w:t>
      </w:r>
      <w:r>
        <w:rPr>
          <w:rFonts w:ascii="Times New Roman" w:hAnsi="Times New Roman" w:cs="Times New Roman"/>
          <w:sz w:val="21"/>
          <w:szCs w:val="20"/>
          <w:lang w:eastAsia="zh-CN"/>
        </w:rPr>
        <w:t>起草单位：</w:t>
      </w:r>
      <w:r>
        <w:rPr>
          <w:rFonts w:ascii="Times New Roman" w:hAnsi="Times New Roman" w:cs="Times New Roman" w:hint="eastAsia"/>
          <w:sz w:val="21"/>
          <w:szCs w:val="20"/>
          <w:lang w:eastAsia="zh-CN"/>
        </w:rPr>
        <w:t>中国石化镇海炼化分公司、宁波镇海炼化有限公司、浙江皇马科技股份有限公司、桐乡市恒隆化工有限公司、浙江恒翔新材料有限公司。</w:t>
      </w:r>
    </w:p>
    <w:p w:rsidR="00DA5E6D" w:rsidRDefault="008E040F" w:rsidP="00DB04F7">
      <w:pPr>
        <w:widowControl/>
        <w:tabs>
          <w:tab w:val="center" w:pos="4201"/>
          <w:tab w:val="right" w:leader="dot" w:pos="9298"/>
        </w:tabs>
        <w:ind w:firstLineChars="200" w:firstLine="420"/>
        <w:jc w:val="both"/>
        <w:rPr>
          <w:rFonts w:ascii="Times New Roman" w:hAnsi="Times New Roman" w:cs="Times New Roman"/>
          <w:sz w:val="21"/>
          <w:szCs w:val="20"/>
          <w:lang w:eastAsia="zh-CN"/>
        </w:rPr>
      </w:pPr>
      <w:r>
        <w:rPr>
          <w:rFonts w:ascii="Times New Roman" w:hAnsi="Times New Roman" w:cs="Times New Roman"/>
          <w:sz w:val="21"/>
          <w:szCs w:val="20"/>
          <w:lang w:eastAsia="zh-CN"/>
        </w:rPr>
        <w:t>本</w:t>
      </w:r>
      <w:r>
        <w:rPr>
          <w:rFonts w:ascii="Times New Roman" w:hAnsi="Times New Roman" w:cs="Times New Roman" w:hint="eastAsia"/>
          <w:sz w:val="21"/>
          <w:szCs w:val="20"/>
          <w:lang w:eastAsia="zh-CN"/>
        </w:rPr>
        <w:t>文件主要</w:t>
      </w:r>
      <w:r>
        <w:rPr>
          <w:rFonts w:ascii="Times New Roman" w:hAnsi="Times New Roman" w:cs="Times New Roman"/>
          <w:sz w:val="21"/>
          <w:szCs w:val="20"/>
          <w:lang w:eastAsia="zh-CN"/>
        </w:rPr>
        <w:t>起草人：</w:t>
      </w:r>
      <w:r>
        <w:rPr>
          <w:rFonts w:ascii="Times New Roman" w:hAnsi="Times New Roman" w:cs="Times New Roman" w:hint="eastAsia"/>
          <w:sz w:val="21"/>
          <w:szCs w:val="20"/>
          <w:highlight w:val="yellow"/>
          <w:lang w:eastAsia="zh-CN"/>
        </w:rPr>
        <w:t>***</w:t>
      </w:r>
      <w:r>
        <w:rPr>
          <w:rFonts w:ascii="Times New Roman" w:hAnsi="Times New Roman" w:cs="Times New Roman" w:hint="eastAsia"/>
          <w:sz w:val="21"/>
          <w:szCs w:val="20"/>
          <w:lang w:eastAsia="zh-CN"/>
        </w:rPr>
        <w:t>。</w:t>
      </w:r>
    </w:p>
    <w:p w:rsidR="00DA5E6D" w:rsidRDefault="008E040F" w:rsidP="00DB04F7">
      <w:pPr>
        <w:widowControl/>
        <w:tabs>
          <w:tab w:val="center" w:pos="4201"/>
          <w:tab w:val="right" w:leader="dot" w:pos="9298"/>
        </w:tabs>
        <w:autoSpaceDE/>
        <w:autoSpaceDN/>
        <w:ind w:firstLineChars="200" w:firstLine="420"/>
        <w:jc w:val="both"/>
        <w:rPr>
          <w:rFonts w:ascii="Times New Roman" w:hAnsi="Times New Roman" w:cs="Times New Roman"/>
          <w:sz w:val="21"/>
          <w:szCs w:val="20"/>
          <w:lang w:eastAsia="zh-CN"/>
        </w:rPr>
      </w:pPr>
      <w:r>
        <w:rPr>
          <w:rFonts w:ascii="Times New Roman" w:hAnsi="Times New Roman" w:cs="Times New Roman" w:hint="eastAsia"/>
          <w:sz w:val="21"/>
          <w:szCs w:val="20"/>
          <w:lang w:eastAsia="zh-CN"/>
        </w:rPr>
        <w:t>本文件为首次发布。</w:t>
      </w:r>
    </w:p>
    <w:p w:rsidR="00DA5E6D" w:rsidRDefault="00DA5E6D" w:rsidP="00DB04F7">
      <w:pPr>
        <w:widowControl/>
        <w:tabs>
          <w:tab w:val="center" w:pos="4201"/>
          <w:tab w:val="right" w:leader="dot" w:pos="9298"/>
        </w:tabs>
        <w:autoSpaceDE/>
        <w:autoSpaceDN/>
        <w:ind w:firstLineChars="200" w:firstLine="420"/>
        <w:jc w:val="both"/>
        <w:rPr>
          <w:rFonts w:ascii="Times New Roman" w:hAnsi="Times New Roman" w:cs="Times New Roman"/>
          <w:sz w:val="21"/>
          <w:szCs w:val="20"/>
          <w:lang w:eastAsia="zh-CN"/>
        </w:rPr>
      </w:pPr>
    </w:p>
    <w:p w:rsidR="00DA5E6D" w:rsidRDefault="00DA5E6D" w:rsidP="00DB04F7">
      <w:pPr>
        <w:widowControl/>
        <w:tabs>
          <w:tab w:val="center" w:pos="4201"/>
          <w:tab w:val="right" w:leader="dot" w:pos="9298"/>
        </w:tabs>
        <w:autoSpaceDE/>
        <w:autoSpaceDN/>
        <w:ind w:firstLineChars="200" w:firstLine="420"/>
        <w:jc w:val="both"/>
        <w:rPr>
          <w:rFonts w:ascii="Times New Roman" w:hAnsi="Times New Roman" w:cs="Times New Roman"/>
          <w:sz w:val="21"/>
          <w:szCs w:val="20"/>
          <w:lang w:eastAsia="zh-CN"/>
        </w:rPr>
      </w:pPr>
    </w:p>
    <w:p w:rsidR="00DA5E6D" w:rsidRDefault="00DA5E6D" w:rsidP="00DB04F7">
      <w:pPr>
        <w:widowControl/>
        <w:tabs>
          <w:tab w:val="center" w:pos="4201"/>
          <w:tab w:val="right" w:leader="dot" w:pos="9298"/>
        </w:tabs>
        <w:autoSpaceDE/>
        <w:autoSpaceDN/>
        <w:ind w:firstLineChars="200" w:firstLine="420"/>
        <w:jc w:val="both"/>
        <w:rPr>
          <w:rFonts w:ascii="Times New Roman" w:hAnsi="Times New Roman" w:cs="Times New Roman"/>
          <w:sz w:val="21"/>
          <w:szCs w:val="20"/>
          <w:lang w:eastAsia="zh-CN"/>
        </w:rPr>
      </w:pPr>
    </w:p>
    <w:p w:rsidR="00DA5E6D" w:rsidRDefault="00DA5E6D" w:rsidP="00DB04F7">
      <w:pPr>
        <w:widowControl/>
        <w:tabs>
          <w:tab w:val="center" w:pos="4201"/>
          <w:tab w:val="right" w:leader="dot" w:pos="9298"/>
        </w:tabs>
        <w:autoSpaceDE/>
        <w:autoSpaceDN/>
        <w:ind w:firstLineChars="200" w:firstLine="420"/>
        <w:jc w:val="both"/>
        <w:rPr>
          <w:rFonts w:ascii="Times New Roman" w:hAnsi="Times New Roman" w:cs="Times New Roman"/>
          <w:sz w:val="21"/>
          <w:szCs w:val="20"/>
          <w:lang w:eastAsia="zh-CN"/>
        </w:rPr>
      </w:pPr>
    </w:p>
    <w:p w:rsidR="00DA5E6D" w:rsidRDefault="00DA5E6D" w:rsidP="00DB04F7">
      <w:pPr>
        <w:widowControl/>
        <w:tabs>
          <w:tab w:val="center" w:pos="4201"/>
          <w:tab w:val="right" w:leader="dot" w:pos="9298"/>
        </w:tabs>
        <w:autoSpaceDE/>
        <w:autoSpaceDN/>
        <w:ind w:firstLineChars="200" w:firstLine="420"/>
        <w:jc w:val="both"/>
        <w:rPr>
          <w:rFonts w:ascii="Times New Roman" w:hAnsi="Times New Roman" w:cs="Times New Roman"/>
          <w:sz w:val="21"/>
          <w:szCs w:val="20"/>
          <w:lang w:eastAsia="zh-CN"/>
        </w:rPr>
      </w:pPr>
    </w:p>
    <w:p w:rsidR="00DA5E6D" w:rsidRDefault="00DA5E6D" w:rsidP="00DB04F7">
      <w:pPr>
        <w:widowControl/>
        <w:tabs>
          <w:tab w:val="center" w:pos="4201"/>
          <w:tab w:val="right" w:leader="dot" w:pos="9298"/>
        </w:tabs>
        <w:autoSpaceDE/>
        <w:autoSpaceDN/>
        <w:ind w:firstLineChars="200" w:firstLine="420"/>
        <w:jc w:val="both"/>
        <w:rPr>
          <w:rFonts w:ascii="Times New Roman" w:hAnsi="Times New Roman" w:cs="Times New Roman"/>
          <w:sz w:val="21"/>
          <w:szCs w:val="20"/>
          <w:lang w:eastAsia="zh-CN"/>
        </w:rPr>
      </w:pPr>
    </w:p>
    <w:p w:rsidR="00DA5E6D" w:rsidRDefault="00DA5E6D" w:rsidP="00DB04F7">
      <w:pPr>
        <w:widowControl/>
        <w:tabs>
          <w:tab w:val="center" w:pos="4201"/>
          <w:tab w:val="right" w:leader="dot" w:pos="9298"/>
        </w:tabs>
        <w:autoSpaceDE/>
        <w:autoSpaceDN/>
        <w:ind w:firstLineChars="200" w:firstLine="420"/>
        <w:jc w:val="both"/>
        <w:rPr>
          <w:rFonts w:ascii="Times New Roman" w:hAnsi="Times New Roman" w:cs="Times New Roman"/>
          <w:sz w:val="21"/>
          <w:szCs w:val="20"/>
          <w:lang w:eastAsia="zh-CN"/>
        </w:rPr>
      </w:pPr>
    </w:p>
    <w:p w:rsidR="00DA5E6D" w:rsidRDefault="00DA5E6D" w:rsidP="00DB04F7">
      <w:pPr>
        <w:widowControl/>
        <w:tabs>
          <w:tab w:val="center" w:pos="4201"/>
          <w:tab w:val="right" w:leader="dot" w:pos="9298"/>
        </w:tabs>
        <w:autoSpaceDE/>
        <w:autoSpaceDN/>
        <w:ind w:firstLineChars="200" w:firstLine="420"/>
        <w:jc w:val="both"/>
        <w:rPr>
          <w:rFonts w:ascii="Times New Roman" w:hAnsi="Times New Roman" w:cs="Times New Roman"/>
          <w:sz w:val="21"/>
          <w:szCs w:val="20"/>
          <w:lang w:eastAsia="zh-CN"/>
        </w:rPr>
      </w:pPr>
    </w:p>
    <w:p w:rsidR="00DA5E6D" w:rsidRDefault="00DA5E6D" w:rsidP="00DB04F7">
      <w:pPr>
        <w:widowControl/>
        <w:tabs>
          <w:tab w:val="center" w:pos="4201"/>
          <w:tab w:val="right" w:leader="dot" w:pos="9298"/>
        </w:tabs>
        <w:autoSpaceDE/>
        <w:autoSpaceDN/>
        <w:ind w:firstLineChars="200" w:firstLine="420"/>
        <w:jc w:val="both"/>
        <w:rPr>
          <w:rFonts w:ascii="Times New Roman" w:hAnsi="Times New Roman" w:cs="Times New Roman"/>
          <w:sz w:val="21"/>
          <w:szCs w:val="20"/>
          <w:lang w:eastAsia="zh-CN"/>
        </w:rPr>
      </w:pPr>
    </w:p>
    <w:p w:rsidR="00DA5E6D" w:rsidRDefault="00DA5E6D" w:rsidP="00DB04F7">
      <w:pPr>
        <w:widowControl/>
        <w:tabs>
          <w:tab w:val="center" w:pos="4201"/>
          <w:tab w:val="right" w:leader="dot" w:pos="9298"/>
        </w:tabs>
        <w:autoSpaceDE/>
        <w:autoSpaceDN/>
        <w:ind w:firstLineChars="200" w:firstLine="420"/>
        <w:jc w:val="both"/>
        <w:rPr>
          <w:rFonts w:ascii="Times New Roman" w:hAnsi="Times New Roman" w:cs="Times New Roman"/>
          <w:sz w:val="21"/>
          <w:szCs w:val="20"/>
          <w:lang w:eastAsia="zh-CN"/>
        </w:rPr>
      </w:pPr>
    </w:p>
    <w:p w:rsidR="00DA5E6D" w:rsidRDefault="00DA5E6D" w:rsidP="00DB04F7">
      <w:pPr>
        <w:widowControl/>
        <w:tabs>
          <w:tab w:val="center" w:pos="4201"/>
          <w:tab w:val="right" w:leader="dot" w:pos="9298"/>
        </w:tabs>
        <w:autoSpaceDE/>
        <w:autoSpaceDN/>
        <w:ind w:firstLineChars="200" w:firstLine="420"/>
        <w:jc w:val="both"/>
        <w:rPr>
          <w:rFonts w:ascii="Times New Roman" w:hAnsi="Times New Roman" w:cs="Times New Roman"/>
          <w:sz w:val="21"/>
          <w:szCs w:val="20"/>
          <w:lang w:eastAsia="zh-CN"/>
        </w:rPr>
      </w:pPr>
    </w:p>
    <w:p w:rsidR="00DA5E6D" w:rsidRDefault="00DA5E6D" w:rsidP="00DB04F7">
      <w:pPr>
        <w:widowControl/>
        <w:tabs>
          <w:tab w:val="center" w:pos="4201"/>
          <w:tab w:val="right" w:leader="dot" w:pos="9298"/>
        </w:tabs>
        <w:autoSpaceDE/>
        <w:autoSpaceDN/>
        <w:ind w:firstLineChars="200" w:firstLine="420"/>
        <w:jc w:val="both"/>
        <w:rPr>
          <w:rFonts w:ascii="Times New Roman" w:hAnsi="Times New Roman" w:cs="Times New Roman"/>
          <w:sz w:val="21"/>
          <w:szCs w:val="20"/>
          <w:lang w:eastAsia="zh-CN"/>
        </w:rPr>
      </w:pPr>
    </w:p>
    <w:p w:rsidR="00DA5E6D" w:rsidRDefault="00DA5E6D" w:rsidP="00DB04F7">
      <w:pPr>
        <w:widowControl/>
        <w:tabs>
          <w:tab w:val="center" w:pos="4201"/>
          <w:tab w:val="right" w:leader="dot" w:pos="9298"/>
        </w:tabs>
        <w:autoSpaceDE/>
        <w:autoSpaceDN/>
        <w:ind w:firstLineChars="200" w:firstLine="420"/>
        <w:jc w:val="both"/>
        <w:rPr>
          <w:rFonts w:ascii="Times New Roman" w:hAnsi="Times New Roman" w:cs="Times New Roman"/>
          <w:sz w:val="21"/>
          <w:szCs w:val="20"/>
          <w:lang w:eastAsia="zh-CN"/>
        </w:rPr>
      </w:pPr>
    </w:p>
    <w:p w:rsidR="00DA5E6D" w:rsidRDefault="00DA5E6D" w:rsidP="00DB04F7">
      <w:pPr>
        <w:widowControl/>
        <w:tabs>
          <w:tab w:val="center" w:pos="4201"/>
          <w:tab w:val="right" w:leader="dot" w:pos="9298"/>
        </w:tabs>
        <w:autoSpaceDE/>
        <w:autoSpaceDN/>
        <w:ind w:firstLineChars="200" w:firstLine="420"/>
        <w:jc w:val="both"/>
        <w:rPr>
          <w:rFonts w:ascii="Times New Roman" w:hAnsi="Times New Roman" w:cs="Times New Roman"/>
          <w:sz w:val="21"/>
          <w:szCs w:val="20"/>
          <w:lang w:eastAsia="zh-CN"/>
        </w:rPr>
      </w:pPr>
    </w:p>
    <w:p w:rsidR="00DA5E6D" w:rsidRDefault="00DA5E6D" w:rsidP="00DB04F7">
      <w:pPr>
        <w:widowControl/>
        <w:tabs>
          <w:tab w:val="center" w:pos="4201"/>
          <w:tab w:val="right" w:leader="dot" w:pos="9298"/>
        </w:tabs>
        <w:autoSpaceDE/>
        <w:autoSpaceDN/>
        <w:ind w:firstLineChars="200" w:firstLine="420"/>
        <w:jc w:val="both"/>
        <w:rPr>
          <w:rFonts w:ascii="Times New Roman" w:hAnsi="Times New Roman" w:cs="Times New Roman"/>
          <w:sz w:val="21"/>
          <w:szCs w:val="20"/>
          <w:lang w:eastAsia="zh-CN"/>
        </w:rPr>
      </w:pPr>
    </w:p>
    <w:p w:rsidR="00DA5E6D" w:rsidRDefault="00DA5E6D" w:rsidP="00DB04F7">
      <w:pPr>
        <w:widowControl/>
        <w:tabs>
          <w:tab w:val="center" w:pos="4201"/>
          <w:tab w:val="right" w:leader="dot" w:pos="9298"/>
        </w:tabs>
        <w:autoSpaceDE/>
        <w:autoSpaceDN/>
        <w:ind w:firstLineChars="200" w:firstLine="420"/>
        <w:jc w:val="both"/>
        <w:rPr>
          <w:rFonts w:ascii="Times New Roman" w:hAnsi="Times New Roman" w:cs="Times New Roman"/>
          <w:sz w:val="21"/>
          <w:szCs w:val="20"/>
          <w:lang w:eastAsia="zh-CN"/>
        </w:rPr>
      </w:pPr>
    </w:p>
    <w:p w:rsidR="00DA5E6D" w:rsidRDefault="00DA5E6D" w:rsidP="00DB04F7">
      <w:pPr>
        <w:widowControl/>
        <w:tabs>
          <w:tab w:val="center" w:pos="4201"/>
          <w:tab w:val="right" w:leader="dot" w:pos="9298"/>
        </w:tabs>
        <w:autoSpaceDE/>
        <w:autoSpaceDN/>
        <w:ind w:firstLineChars="200" w:firstLine="420"/>
        <w:jc w:val="both"/>
        <w:rPr>
          <w:rFonts w:ascii="Times New Roman" w:hAnsi="Times New Roman" w:cs="Times New Roman"/>
          <w:sz w:val="21"/>
          <w:szCs w:val="20"/>
          <w:lang w:eastAsia="zh-CN"/>
        </w:rPr>
      </w:pPr>
    </w:p>
    <w:p w:rsidR="00DA5E6D" w:rsidRDefault="00DA5E6D" w:rsidP="00DB04F7">
      <w:pPr>
        <w:widowControl/>
        <w:tabs>
          <w:tab w:val="center" w:pos="4201"/>
          <w:tab w:val="right" w:leader="dot" w:pos="9298"/>
        </w:tabs>
        <w:autoSpaceDE/>
        <w:autoSpaceDN/>
        <w:ind w:firstLineChars="200" w:firstLine="420"/>
        <w:jc w:val="both"/>
        <w:rPr>
          <w:rFonts w:ascii="Times New Roman" w:hAnsi="Times New Roman" w:cs="Times New Roman"/>
          <w:sz w:val="21"/>
          <w:szCs w:val="20"/>
          <w:lang w:eastAsia="zh-CN"/>
        </w:rPr>
      </w:pPr>
    </w:p>
    <w:p w:rsidR="00DA5E6D" w:rsidRDefault="00DA5E6D" w:rsidP="00DB04F7">
      <w:pPr>
        <w:widowControl/>
        <w:tabs>
          <w:tab w:val="center" w:pos="4201"/>
          <w:tab w:val="right" w:leader="dot" w:pos="9298"/>
        </w:tabs>
        <w:autoSpaceDE/>
        <w:autoSpaceDN/>
        <w:ind w:firstLineChars="200" w:firstLine="420"/>
        <w:jc w:val="both"/>
        <w:rPr>
          <w:rFonts w:ascii="Times New Roman" w:hAnsi="Times New Roman" w:cs="Times New Roman"/>
          <w:sz w:val="21"/>
          <w:szCs w:val="20"/>
          <w:lang w:eastAsia="zh-CN"/>
        </w:rPr>
      </w:pPr>
    </w:p>
    <w:p w:rsidR="00DA5E6D" w:rsidRDefault="00DA5E6D" w:rsidP="00DB04F7">
      <w:pPr>
        <w:widowControl/>
        <w:tabs>
          <w:tab w:val="center" w:pos="4201"/>
          <w:tab w:val="right" w:leader="dot" w:pos="9298"/>
        </w:tabs>
        <w:autoSpaceDE/>
        <w:autoSpaceDN/>
        <w:ind w:firstLineChars="200" w:firstLine="420"/>
        <w:jc w:val="both"/>
        <w:rPr>
          <w:rFonts w:ascii="Times New Roman" w:hAnsi="Times New Roman" w:cs="Times New Roman"/>
          <w:sz w:val="21"/>
          <w:szCs w:val="20"/>
          <w:lang w:eastAsia="zh-CN"/>
        </w:rPr>
      </w:pPr>
    </w:p>
    <w:p w:rsidR="00DA5E6D" w:rsidRDefault="00DA5E6D" w:rsidP="00DB04F7">
      <w:pPr>
        <w:widowControl/>
        <w:tabs>
          <w:tab w:val="center" w:pos="4201"/>
          <w:tab w:val="right" w:leader="dot" w:pos="9298"/>
        </w:tabs>
        <w:autoSpaceDE/>
        <w:autoSpaceDN/>
        <w:ind w:firstLineChars="200" w:firstLine="420"/>
        <w:jc w:val="both"/>
        <w:rPr>
          <w:rFonts w:ascii="Times New Roman" w:hAnsi="Times New Roman" w:cs="Times New Roman"/>
          <w:sz w:val="21"/>
          <w:szCs w:val="20"/>
          <w:lang w:eastAsia="zh-CN"/>
        </w:rPr>
      </w:pPr>
    </w:p>
    <w:p w:rsidR="00DA5E6D" w:rsidRDefault="00DA5E6D" w:rsidP="00DB04F7">
      <w:pPr>
        <w:widowControl/>
        <w:tabs>
          <w:tab w:val="center" w:pos="4201"/>
          <w:tab w:val="right" w:leader="dot" w:pos="9298"/>
        </w:tabs>
        <w:autoSpaceDE/>
        <w:autoSpaceDN/>
        <w:ind w:firstLineChars="200" w:firstLine="420"/>
        <w:jc w:val="both"/>
        <w:rPr>
          <w:rFonts w:ascii="Times New Roman" w:hAnsi="Times New Roman" w:cs="Times New Roman"/>
          <w:sz w:val="21"/>
          <w:szCs w:val="20"/>
          <w:lang w:eastAsia="zh-CN"/>
        </w:rPr>
      </w:pPr>
    </w:p>
    <w:p w:rsidR="00DA5E6D" w:rsidRDefault="00DA5E6D" w:rsidP="00DB04F7">
      <w:pPr>
        <w:widowControl/>
        <w:tabs>
          <w:tab w:val="center" w:pos="4201"/>
          <w:tab w:val="right" w:leader="dot" w:pos="9298"/>
        </w:tabs>
        <w:autoSpaceDE/>
        <w:autoSpaceDN/>
        <w:ind w:firstLineChars="200" w:firstLine="420"/>
        <w:jc w:val="both"/>
        <w:rPr>
          <w:rFonts w:ascii="Times New Roman" w:hAnsi="Times New Roman" w:cs="Times New Roman"/>
          <w:sz w:val="21"/>
          <w:szCs w:val="20"/>
          <w:lang w:eastAsia="zh-CN"/>
        </w:rPr>
      </w:pPr>
    </w:p>
    <w:p w:rsidR="00DA5E6D" w:rsidRDefault="00DA5E6D" w:rsidP="00DB04F7">
      <w:pPr>
        <w:widowControl/>
        <w:tabs>
          <w:tab w:val="center" w:pos="4201"/>
          <w:tab w:val="right" w:leader="dot" w:pos="9298"/>
        </w:tabs>
        <w:autoSpaceDE/>
        <w:autoSpaceDN/>
        <w:ind w:firstLineChars="200" w:firstLine="420"/>
        <w:jc w:val="both"/>
        <w:rPr>
          <w:rFonts w:ascii="Times New Roman" w:hAnsi="Times New Roman" w:cs="Times New Roman"/>
          <w:sz w:val="21"/>
          <w:szCs w:val="20"/>
          <w:lang w:eastAsia="zh-CN"/>
        </w:rPr>
      </w:pPr>
    </w:p>
    <w:p w:rsidR="00DA5E6D" w:rsidRDefault="00DA5E6D" w:rsidP="00DB04F7">
      <w:pPr>
        <w:widowControl/>
        <w:tabs>
          <w:tab w:val="center" w:pos="4201"/>
          <w:tab w:val="right" w:leader="dot" w:pos="9298"/>
        </w:tabs>
        <w:autoSpaceDE/>
        <w:autoSpaceDN/>
        <w:ind w:firstLineChars="200" w:firstLine="420"/>
        <w:jc w:val="both"/>
        <w:rPr>
          <w:rFonts w:ascii="Times New Roman" w:hAnsi="Times New Roman" w:cs="Times New Roman"/>
          <w:sz w:val="21"/>
          <w:szCs w:val="20"/>
          <w:lang w:eastAsia="zh-CN"/>
        </w:rPr>
      </w:pPr>
    </w:p>
    <w:p w:rsidR="00DA5E6D" w:rsidRDefault="00DA5E6D" w:rsidP="00DB04F7">
      <w:pPr>
        <w:widowControl/>
        <w:tabs>
          <w:tab w:val="center" w:pos="4201"/>
          <w:tab w:val="right" w:leader="dot" w:pos="9298"/>
        </w:tabs>
        <w:autoSpaceDE/>
        <w:autoSpaceDN/>
        <w:ind w:firstLineChars="200" w:firstLine="420"/>
        <w:jc w:val="both"/>
        <w:rPr>
          <w:rFonts w:ascii="Times New Roman" w:hAnsi="Times New Roman" w:cs="Times New Roman"/>
          <w:sz w:val="21"/>
          <w:szCs w:val="20"/>
          <w:lang w:eastAsia="zh-CN"/>
        </w:rPr>
      </w:pPr>
    </w:p>
    <w:p w:rsidR="00DA5E6D" w:rsidRDefault="00DA5E6D" w:rsidP="00DB04F7">
      <w:pPr>
        <w:widowControl/>
        <w:tabs>
          <w:tab w:val="center" w:pos="4201"/>
          <w:tab w:val="right" w:leader="dot" w:pos="9298"/>
        </w:tabs>
        <w:autoSpaceDE/>
        <w:autoSpaceDN/>
        <w:ind w:firstLineChars="200" w:firstLine="420"/>
        <w:jc w:val="both"/>
        <w:rPr>
          <w:rFonts w:ascii="Times New Roman" w:hAnsi="Times New Roman" w:cs="Times New Roman"/>
          <w:sz w:val="21"/>
          <w:szCs w:val="20"/>
          <w:lang w:eastAsia="zh-CN"/>
        </w:rPr>
      </w:pPr>
    </w:p>
    <w:p w:rsidR="00DA5E6D" w:rsidRDefault="008E040F" w:rsidP="00DB04F7">
      <w:pPr>
        <w:widowControl/>
        <w:tabs>
          <w:tab w:val="center" w:pos="4201"/>
          <w:tab w:val="right" w:leader="dot" w:pos="9298"/>
        </w:tabs>
        <w:autoSpaceDE/>
        <w:autoSpaceDN/>
        <w:spacing w:beforeLines="100" w:before="312" w:afterLines="100" w:after="312"/>
        <w:jc w:val="center"/>
        <w:rPr>
          <w:rFonts w:ascii="黑体" w:eastAsia="黑体" w:hAnsi="Times New Roman" w:cs="Times New Roman"/>
          <w:sz w:val="32"/>
          <w:szCs w:val="20"/>
          <w:lang w:eastAsia="zh-CN"/>
        </w:rPr>
      </w:pPr>
      <w:r>
        <w:rPr>
          <w:rFonts w:ascii="黑体" w:eastAsia="黑体" w:hAnsi="Times New Roman" w:cs="Times New Roman" w:hint="eastAsia"/>
          <w:sz w:val="32"/>
          <w:szCs w:val="20"/>
          <w:lang w:eastAsia="zh-CN"/>
        </w:rPr>
        <w:lastRenderedPageBreak/>
        <w:t>引</w:t>
      </w:r>
      <w:r>
        <w:rPr>
          <w:rFonts w:ascii="MS Mincho" w:eastAsia="MS Mincho" w:hAnsi="MS Mincho" w:cs="MS Mincho" w:hint="eastAsia"/>
          <w:sz w:val="32"/>
          <w:szCs w:val="20"/>
          <w:lang w:eastAsia="zh-CN"/>
        </w:rPr>
        <w:t>  </w:t>
      </w:r>
      <w:r>
        <w:rPr>
          <w:rFonts w:ascii="黑体" w:eastAsia="黑体" w:hAnsi="Times New Roman" w:cs="Times New Roman" w:hint="eastAsia"/>
          <w:sz w:val="32"/>
          <w:szCs w:val="20"/>
          <w:lang w:eastAsia="zh-CN"/>
        </w:rPr>
        <w:t>言</w:t>
      </w:r>
    </w:p>
    <w:p w:rsidR="00DA5E6D" w:rsidRPr="00DB04F7" w:rsidRDefault="008E040F" w:rsidP="00DB04F7">
      <w:pPr>
        <w:widowControl/>
        <w:tabs>
          <w:tab w:val="center" w:pos="4201"/>
          <w:tab w:val="right" w:leader="dot" w:pos="9298"/>
        </w:tabs>
        <w:ind w:firstLineChars="200" w:firstLine="420"/>
        <w:jc w:val="both"/>
        <w:rPr>
          <w:sz w:val="21"/>
          <w:szCs w:val="20"/>
          <w:lang w:eastAsia="zh-CN"/>
        </w:rPr>
      </w:pPr>
      <w:r w:rsidRPr="00DB04F7">
        <w:rPr>
          <w:rFonts w:hint="eastAsia"/>
          <w:sz w:val="21"/>
          <w:szCs w:val="20"/>
          <w:lang w:eastAsia="zh-CN"/>
        </w:rPr>
        <w:t>考虑到国内市场对产品的需求，在采用GB/T</w:t>
      </w:r>
      <w:r w:rsidRPr="00DB04F7">
        <w:rPr>
          <w:sz w:val="21"/>
          <w:szCs w:val="20"/>
          <w:lang w:eastAsia="zh-CN"/>
        </w:rPr>
        <w:t xml:space="preserve"> </w:t>
      </w:r>
      <w:r w:rsidRPr="00DB04F7">
        <w:rPr>
          <w:rFonts w:hint="eastAsia"/>
          <w:sz w:val="21"/>
          <w:szCs w:val="20"/>
          <w:lang w:eastAsia="zh-CN"/>
        </w:rPr>
        <w:t>13098—2006《工业用环氧乙烷》标准时，本标准作了一些修改，本标准与GB/T</w:t>
      </w:r>
      <w:r w:rsidRPr="00DB04F7">
        <w:rPr>
          <w:sz w:val="21"/>
          <w:szCs w:val="20"/>
          <w:lang w:eastAsia="zh-CN"/>
        </w:rPr>
        <w:t xml:space="preserve"> </w:t>
      </w:r>
      <w:r w:rsidRPr="00DB04F7">
        <w:rPr>
          <w:rFonts w:hint="eastAsia"/>
          <w:sz w:val="21"/>
          <w:szCs w:val="20"/>
          <w:lang w:eastAsia="zh-CN"/>
        </w:rPr>
        <w:t>13098—2006标准的主要差异如下：</w:t>
      </w:r>
    </w:p>
    <w:p w:rsidR="00DA5E6D" w:rsidRPr="00DB04F7" w:rsidRDefault="008E040F" w:rsidP="00DB04F7">
      <w:pPr>
        <w:widowControl/>
        <w:tabs>
          <w:tab w:val="center" w:pos="4201"/>
          <w:tab w:val="right" w:leader="dot" w:pos="9298"/>
        </w:tabs>
        <w:ind w:firstLineChars="200" w:firstLine="420"/>
        <w:jc w:val="both"/>
        <w:rPr>
          <w:sz w:val="21"/>
          <w:szCs w:val="20"/>
          <w:lang w:eastAsia="zh-CN"/>
        </w:rPr>
        <w:sectPr w:rsidR="00DA5E6D" w:rsidRPr="00DB04F7">
          <w:headerReference w:type="default" r:id="rId9"/>
          <w:footerReference w:type="default" r:id="rId10"/>
          <w:pgSz w:w="11906" w:h="16838"/>
          <w:pgMar w:top="567" w:right="1134" w:bottom="1134" w:left="1418" w:header="1418" w:footer="1134" w:gutter="0"/>
          <w:pgNumType w:fmt="upperRoman" w:start="1"/>
          <w:cols w:space="425"/>
          <w:formProt w:val="0"/>
          <w:docGrid w:type="lines" w:linePitch="312"/>
        </w:sectPr>
      </w:pPr>
      <w:r w:rsidRPr="00DB04F7">
        <w:rPr>
          <w:rFonts w:hint="eastAsia"/>
          <w:sz w:val="21"/>
          <w:szCs w:val="20"/>
          <w:lang w:eastAsia="zh-CN"/>
        </w:rPr>
        <w:t>——</w:t>
      </w:r>
      <w:r w:rsidRPr="00DB04F7">
        <w:rPr>
          <w:sz w:val="21"/>
          <w:szCs w:val="20"/>
          <w:lang w:eastAsia="zh-CN"/>
        </w:rPr>
        <w:t xml:space="preserve">GB/T </w:t>
      </w:r>
      <w:r w:rsidRPr="00DB04F7">
        <w:rPr>
          <w:rFonts w:hint="eastAsia"/>
          <w:sz w:val="21"/>
          <w:szCs w:val="20"/>
          <w:lang w:eastAsia="zh-CN"/>
        </w:rPr>
        <w:t>13098—2006标准技术要求分为优等品和一等品两个等级，本标准未设产品分级，环氧乙烷的质量分数由≥99.95%修改为≥99.98%、总醛的质量分数由≤0.003%修改为≤0.001%（本标准的第4章），这是为了符合下游客户需求和</w:t>
      </w:r>
      <w:r w:rsidR="00DB04F7">
        <w:rPr>
          <w:rFonts w:hint="eastAsia"/>
          <w:sz w:val="21"/>
          <w:szCs w:val="20"/>
          <w:lang w:eastAsia="zh-CN"/>
        </w:rPr>
        <w:t>根据</w:t>
      </w:r>
      <w:r w:rsidRPr="00DB04F7">
        <w:rPr>
          <w:rFonts w:hint="eastAsia"/>
          <w:sz w:val="21"/>
          <w:szCs w:val="20"/>
          <w:lang w:eastAsia="zh-CN"/>
        </w:rPr>
        <w:t>产品质量实际情况确定的。</w:t>
      </w:r>
    </w:p>
    <w:p w:rsidR="00DA5E6D" w:rsidRDefault="00DA5E6D" w:rsidP="00DB04F7">
      <w:pPr>
        <w:spacing w:before="1" w:line="360" w:lineRule="auto"/>
        <w:ind w:right="94"/>
        <w:jc w:val="both"/>
        <w:rPr>
          <w:rFonts w:ascii="黑体" w:eastAsia="黑体"/>
          <w:sz w:val="32"/>
          <w:lang w:eastAsia="zh-CN"/>
        </w:rPr>
      </w:pPr>
    </w:p>
    <w:p w:rsidR="00DA5E6D" w:rsidRDefault="008E040F">
      <w:pPr>
        <w:spacing w:before="1" w:line="360" w:lineRule="auto"/>
        <w:ind w:right="94"/>
        <w:jc w:val="center"/>
        <w:rPr>
          <w:rFonts w:ascii="黑体" w:eastAsia="黑体"/>
          <w:sz w:val="32"/>
          <w:lang w:eastAsia="zh-CN"/>
        </w:rPr>
      </w:pPr>
      <w:r>
        <w:rPr>
          <w:rFonts w:ascii="黑体" w:eastAsia="黑体" w:hint="eastAsia"/>
          <w:sz w:val="32"/>
          <w:lang w:eastAsia="zh-CN"/>
        </w:rPr>
        <w:t>工业用低醛环氧乙烷</w:t>
      </w:r>
    </w:p>
    <w:p w:rsidR="00DA5E6D" w:rsidRDefault="008E040F" w:rsidP="00DB04F7">
      <w:pPr>
        <w:widowControl/>
        <w:tabs>
          <w:tab w:val="center" w:pos="4201"/>
          <w:tab w:val="right" w:leader="dot" w:pos="9298"/>
        </w:tabs>
        <w:ind w:firstLineChars="200" w:firstLine="420"/>
        <w:jc w:val="both"/>
        <w:rPr>
          <w:rFonts w:ascii="黑体" w:eastAsia="黑体" w:cs="Times New Roman"/>
          <w:sz w:val="21"/>
          <w:szCs w:val="21"/>
          <w:lang w:eastAsia="zh-CN"/>
        </w:rPr>
      </w:pPr>
      <w:r>
        <w:rPr>
          <w:rFonts w:ascii="黑体" w:eastAsia="黑体" w:cs="Times New Roman" w:hint="eastAsia"/>
          <w:sz w:val="21"/>
          <w:szCs w:val="21"/>
          <w:lang w:eastAsia="zh-CN"/>
        </w:rPr>
        <w:t>警示：如果不遵守适当的防范措施，本文件所属产品在生产、运输、装卸、贮运和使用过程中可能存在危险。本文件无意对与本产品有关的所有安全问题提出建议。用户在使用本文件之前，有责任采取适当的安全和防范措施，并确定相关规章限制的适用性。</w:t>
      </w:r>
    </w:p>
    <w:p w:rsidR="00DA5E6D" w:rsidRDefault="008E040F">
      <w:pPr>
        <w:pStyle w:val="af6"/>
        <w:numPr>
          <w:ilvl w:val="0"/>
          <w:numId w:val="3"/>
        </w:numPr>
        <w:spacing w:beforeLines="100" w:before="240" w:afterLines="100" w:after="240"/>
        <w:rPr>
          <w:rFonts w:hAnsi="黑体"/>
          <w:szCs w:val="21"/>
        </w:rPr>
      </w:pPr>
      <w:r>
        <w:rPr>
          <w:rFonts w:hAnsi="黑体" w:hint="eastAsia"/>
          <w:szCs w:val="21"/>
        </w:rPr>
        <w:t>范围</w:t>
      </w:r>
    </w:p>
    <w:p w:rsidR="00DA5E6D" w:rsidRDefault="008E040F" w:rsidP="00DB04F7">
      <w:pPr>
        <w:pStyle w:val="a9"/>
        <w:spacing w:before="135"/>
        <w:ind w:left="119" w:right="204" w:firstLine="420"/>
        <w:rPr>
          <w:lang w:eastAsia="zh-CN"/>
        </w:rPr>
      </w:pPr>
      <w:r>
        <w:rPr>
          <w:lang w:eastAsia="zh-CN"/>
        </w:rPr>
        <w:t>本文件</w:t>
      </w:r>
      <w:r>
        <w:rPr>
          <w:spacing w:val="-1"/>
          <w:lang w:eastAsia="zh-CN"/>
        </w:rPr>
        <w:t>规定了</w:t>
      </w:r>
      <w:r>
        <w:rPr>
          <w:rFonts w:hint="eastAsia"/>
          <w:spacing w:val="-1"/>
          <w:lang w:eastAsia="zh-CN"/>
        </w:rPr>
        <w:t>工业用</w:t>
      </w:r>
      <w:r w:rsidRPr="00DB04F7">
        <w:rPr>
          <w:rFonts w:hint="eastAsia"/>
          <w:spacing w:val="-1"/>
          <w:lang w:eastAsia="zh-CN"/>
        </w:rPr>
        <w:t>低醛</w:t>
      </w:r>
      <w:r>
        <w:rPr>
          <w:rFonts w:hint="eastAsia"/>
          <w:spacing w:val="-1"/>
          <w:lang w:eastAsia="zh-CN"/>
        </w:rPr>
        <w:t>环氧乙烷的技术要求和试验方法、取样、检验规则、标志、标签和随行文件、包装、运输和贮存。</w:t>
      </w:r>
    </w:p>
    <w:p w:rsidR="00DA5E6D" w:rsidRDefault="008E040F" w:rsidP="00DB04F7">
      <w:pPr>
        <w:pStyle w:val="a9"/>
        <w:spacing w:before="135"/>
        <w:ind w:left="119" w:right="204" w:firstLine="420"/>
        <w:rPr>
          <w:lang w:eastAsia="zh-CN"/>
        </w:rPr>
      </w:pPr>
      <w:r>
        <w:rPr>
          <w:lang w:eastAsia="zh-CN"/>
        </w:rPr>
        <w:t>本文件适用于</w:t>
      </w:r>
      <w:r>
        <w:rPr>
          <w:rFonts w:hint="eastAsia"/>
          <w:lang w:eastAsia="zh-CN"/>
        </w:rPr>
        <w:t>乙烯直接氧化法制取的环氧乙烷。该产品主要用作合成助剂、医药、化纤、染料中间体等。</w:t>
      </w:r>
    </w:p>
    <w:p w:rsidR="00DA5E6D" w:rsidRDefault="008E040F" w:rsidP="00DB04F7">
      <w:pPr>
        <w:pStyle w:val="af6"/>
        <w:spacing w:beforeLines="0" w:afterLines="0"/>
        <w:ind w:firstLine="420"/>
        <w:rPr>
          <w:rFonts w:ascii="Times New Roman" w:eastAsia="宋体"/>
          <w:color w:val="000000" w:themeColor="text1"/>
          <w:szCs w:val="21"/>
        </w:rPr>
      </w:pPr>
      <w:r>
        <w:rPr>
          <w:rFonts w:ascii="Times New Roman" w:eastAsiaTheme="majorEastAsia" w:hint="eastAsia"/>
          <w:color w:val="000000" w:themeColor="text1"/>
          <w:szCs w:val="21"/>
        </w:rPr>
        <w:t>分子式：</w:t>
      </w:r>
      <w:r>
        <w:rPr>
          <w:rFonts w:ascii="宋体" w:eastAsia="宋体" w:hAnsi="宋体" w:hint="eastAsia"/>
          <w:color w:val="000000"/>
          <w:szCs w:val="21"/>
          <w:shd w:val="clear" w:color="auto" w:fill="FFFFFF"/>
        </w:rPr>
        <w:t>C</w:t>
      </w:r>
      <w:r>
        <w:rPr>
          <w:rFonts w:ascii="宋体" w:eastAsia="宋体" w:hAnsi="宋体"/>
          <w:color w:val="000000"/>
          <w:shd w:val="clear" w:color="auto" w:fill="FFFFFF"/>
          <w:vertAlign w:val="subscript"/>
        </w:rPr>
        <w:t>2</w:t>
      </w:r>
      <w:r>
        <w:rPr>
          <w:rFonts w:ascii="宋体" w:eastAsia="宋体" w:hAnsi="宋体" w:hint="eastAsia"/>
          <w:color w:val="000000"/>
          <w:szCs w:val="21"/>
          <w:shd w:val="clear" w:color="auto" w:fill="FFFFFF"/>
        </w:rPr>
        <w:t>H</w:t>
      </w:r>
      <w:r>
        <w:rPr>
          <w:rFonts w:ascii="宋体" w:eastAsia="宋体" w:hAnsi="宋体"/>
          <w:color w:val="000000"/>
          <w:shd w:val="clear" w:color="auto" w:fill="FFFFFF"/>
          <w:vertAlign w:val="subscript"/>
        </w:rPr>
        <w:t>4</w:t>
      </w:r>
      <w:r>
        <w:rPr>
          <w:rFonts w:ascii="宋体" w:eastAsia="宋体" w:hAnsi="宋体"/>
          <w:color w:val="000000"/>
          <w:szCs w:val="21"/>
          <w:shd w:val="clear" w:color="auto" w:fill="FFFFFF"/>
        </w:rPr>
        <w:t>O</w:t>
      </w:r>
    </w:p>
    <w:p w:rsidR="00DA5E6D" w:rsidRDefault="008E040F" w:rsidP="00DB04F7">
      <w:pPr>
        <w:pStyle w:val="af6"/>
        <w:spacing w:beforeLines="0" w:afterLines="0"/>
        <w:ind w:firstLine="420"/>
      </w:pPr>
      <w:r>
        <w:rPr>
          <w:rFonts w:ascii="Times New Roman" w:eastAsiaTheme="majorEastAsia"/>
          <w:szCs w:val="21"/>
        </w:rPr>
        <w:t>相对分子质量：</w:t>
      </w:r>
      <w:r>
        <w:rPr>
          <w:rFonts w:ascii="Times New Roman" w:eastAsiaTheme="majorEastAsia" w:hint="eastAsia"/>
          <w:szCs w:val="21"/>
        </w:rPr>
        <w:t>44.05</w:t>
      </w:r>
      <w:r>
        <w:rPr>
          <w:rFonts w:ascii="Times New Roman" w:eastAsiaTheme="majorEastAsia"/>
          <w:szCs w:val="21"/>
        </w:rPr>
        <w:t>（按</w:t>
      </w:r>
      <w:r>
        <w:rPr>
          <w:rFonts w:ascii="Times New Roman" w:eastAsiaTheme="majorEastAsia"/>
          <w:szCs w:val="21"/>
        </w:rPr>
        <w:t>2022</w:t>
      </w:r>
      <w:r>
        <w:rPr>
          <w:rFonts w:ascii="Times New Roman" w:eastAsiaTheme="majorEastAsia"/>
          <w:szCs w:val="21"/>
        </w:rPr>
        <w:t>年国际相对原子质量）</w:t>
      </w:r>
    </w:p>
    <w:p w:rsidR="00DA5E6D" w:rsidRDefault="008E040F">
      <w:pPr>
        <w:pStyle w:val="af6"/>
        <w:numPr>
          <w:ilvl w:val="0"/>
          <w:numId w:val="3"/>
        </w:numPr>
        <w:spacing w:beforeLines="100" w:before="240" w:afterLines="100" w:after="240"/>
        <w:rPr>
          <w:rFonts w:hAnsi="黑体"/>
          <w:szCs w:val="21"/>
        </w:rPr>
      </w:pPr>
      <w:r>
        <w:rPr>
          <w:rFonts w:hAnsi="黑体" w:hint="eastAsia"/>
          <w:szCs w:val="21"/>
        </w:rPr>
        <w:t>规范性引用文件</w:t>
      </w:r>
    </w:p>
    <w:p w:rsidR="00DA5E6D" w:rsidRDefault="008E040F" w:rsidP="00DB04F7">
      <w:pPr>
        <w:widowControl/>
        <w:ind w:firstLineChars="200" w:firstLine="420"/>
        <w:rPr>
          <w:sz w:val="21"/>
          <w:szCs w:val="20"/>
          <w:lang w:eastAsia="zh-CN"/>
        </w:rPr>
      </w:pPr>
      <w:r>
        <w:rPr>
          <w:rFonts w:hint="eastAsia"/>
          <w:sz w:val="21"/>
          <w:szCs w:val="20"/>
          <w:lang w:eastAsia="zh-CN"/>
        </w:rPr>
        <w:t>下列文件中</w:t>
      </w:r>
      <w:r w:rsidRPr="00DB04F7">
        <w:rPr>
          <w:rFonts w:hint="eastAsia"/>
          <w:sz w:val="21"/>
          <w:szCs w:val="20"/>
          <w:lang w:eastAsia="zh-CN"/>
        </w:rPr>
        <w:t>的内容通过文中的规范性引用而构成文件必不可少的条款。其中，注日期的引用文件，仅该日期对应的版本适用于本文件；不注日期的引用文件，其最新版本（包括所有的修改单）适用于本文件。</w:t>
      </w:r>
    </w:p>
    <w:p w:rsidR="00DA5E6D" w:rsidRPr="00DB04F7" w:rsidRDefault="008E040F" w:rsidP="00DB04F7">
      <w:pPr>
        <w:widowControl/>
        <w:ind w:firstLineChars="200" w:firstLine="420"/>
        <w:rPr>
          <w:sz w:val="21"/>
          <w:szCs w:val="20"/>
          <w:lang w:eastAsia="zh-CN"/>
        </w:rPr>
      </w:pPr>
      <w:r>
        <w:rPr>
          <w:rFonts w:hint="eastAsia"/>
          <w:sz w:val="21"/>
          <w:szCs w:val="20"/>
          <w:lang w:eastAsia="zh-CN"/>
        </w:rPr>
        <w:t>GB/T 13098 工业用环氧乙烷</w:t>
      </w:r>
    </w:p>
    <w:p w:rsidR="00DA5E6D" w:rsidRDefault="008E040F" w:rsidP="00DB04F7">
      <w:pPr>
        <w:widowControl/>
        <w:ind w:firstLineChars="200" w:firstLine="420"/>
        <w:rPr>
          <w:sz w:val="21"/>
          <w:szCs w:val="20"/>
          <w:lang w:eastAsia="zh-CN"/>
        </w:rPr>
      </w:pPr>
      <w:r>
        <w:rPr>
          <w:rFonts w:hint="eastAsia"/>
          <w:sz w:val="21"/>
          <w:szCs w:val="20"/>
          <w:lang w:eastAsia="zh-CN"/>
        </w:rPr>
        <w:t>GB 190 危险货物包装标志</w:t>
      </w:r>
    </w:p>
    <w:p w:rsidR="00DA5E6D" w:rsidRDefault="008E040F" w:rsidP="00DB04F7">
      <w:pPr>
        <w:widowControl/>
        <w:ind w:firstLineChars="200" w:firstLine="420"/>
        <w:rPr>
          <w:sz w:val="21"/>
          <w:szCs w:val="20"/>
          <w:lang w:eastAsia="zh-CN"/>
        </w:rPr>
      </w:pPr>
      <w:r w:rsidRPr="00DB04F7">
        <w:rPr>
          <w:sz w:val="21"/>
          <w:szCs w:val="20"/>
          <w:lang w:eastAsia="zh-CN"/>
        </w:rPr>
        <w:t>GB</w:t>
      </w:r>
      <w:r>
        <w:rPr>
          <w:rFonts w:hint="eastAsia"/>
          <w:sz w:val="21"/>
          <w:szCs w:val="20"/>
          <w:lang w:eastAsia="zh-CN"/>
        </w:rPr>
        <w:t xml:space="preserve"> </w:t>
      </w:r>
      <w:r w:rsidRPr="00DB04F7">
        <w:rPr>
          <w:sz w:val="21"/>
          <w:szCs w:val="20"/>
          <w:lang w:eastAsia="zh-CN"/>
        </w:rPr>
        <w:t>13690</w:t>
      </w:r>
      <w:r>
        <w:rPr>
          <w:rFonts w:hint="eastAsia"/>
          <w:sz w:val="21"/>
          <w:szCs w:val="20"/>
          <w:lang w:eastAsia="zh-CN"/>
        </w:rPr>
        <w:t xml:space="preserve"> 化学品分类和危险性公示 通则</w:t>
      </w:r>
    </w:p>
    <w:p w:rsidR="00DA5E6D" w:rsidRDefault="008E040F" w:rsidP="00DB04F7">
      <w:pPr>
        <w:widowControl/>
        <w:ind w:firstLineChars="200" w:firstLine="420"/>
        <w:rPr>
          <w:sz w:val="21"/>
          <w:szCs w:val="20"/>
          <w:lang w:eastAsia="zh-CN"/>
        </w:rPr>
      </w:pPr>
      <w:r w:rsidRPr="00DB04F7">
        <w:rPr>
          <w:sz w:val="21"/>
          <w:szCs w:val="20"/>
          <w:lang w:eastAsia="zh-CN"/>
        </w:rPr>
        <w:t>GB 30000.</w:t>
      </w:r>
      <w:r>
        <w:rPr>
          <w:rFonts w:hint="eastAsia"/>
          <w:sz w:val="21"/>
          <w:szCs w:val="20"/>
          <w:lang w:eastAsia="zh-CN"/>
        </w:rPr>
        <w:t>7 化学品分类和标签规范 第7部分:易燃液体</w:t>
      </w:r>
    </w:p>
    <w:p w:rsidR="00DA5E6D" w:rsidRDefault="008E040F" w:rsidP="00DB04F7">
      <w:pPr>
        <w:widowControl/>
        <w:ind w:firstLineChars="200" w:firstLine="420"/>
        <w:rPr>
          <w:sz w:val="21"/>
          <w:szCs w:val="20"/>
          <w:lang w:eastAsia="zh-CN"/>
        </w:rPr>
      </w:pPr>
      <w:r>
        <w:rPr>
          <w:rFonts w:hint="eastAsia"/>
          <w:sz w:val="21"/>
          <w:szCs w:val="20"/>
          <w:lang w:eastAsia="zh-CN"/>
        </w:rPr>
        <w:t>GB/T 8170 极限数值的表示方法和判定方法</w:t>
      </w:r>
    </w:p>
    <w:p w:rsidR="00DA5E6D" w:rsidRDefault="008E040F" w:rsidP="00DB04F7">
      <w:pPr>
        <w:widowControl/>
        <w:ind w:firstLineChars="200" w:firstLine="420"/>
        <w:rPr>
          <w:sz w:val="21"/>
          <w:szCs w:val="20"/>
          <w:lang w:eastAsia="zh-CN"/>
        </w:rPr>
      </w:pPr>
      <w:r>
        <w:rPr>
          <w:rFonts w:hint="eastAsia"/>
          <w:sz w:val="21"/>
          <w:szCs w:val="20"/>
          <w:lang w:eastAsia="zh-CN"/>
        </w:rPr>
        <w:t>GB/T 372</w:t>
      </w:r>
      <w:r w:rsidR="00A52E54">
        <w:rPr>
          <w:sz w:val="21"/>
          <w:szCs w:val="20"/>
          <w:lang w:eastAsia="zh-CN"/>
        </w:rPr>
        <w:t>3</w:t>
      </w:r>
      <w:r>
        <w:rPr>
          <w:rFonts w:hint="eastAsia"/>
          <w:sz w:val="21"/>
          <w:szCs w:val="20"/>
          <w:lang w:eastAsia="zh-CN"/>
        </w:rPr>
        <w:t xml:space="preserve"> 工业用化学产品采样安全通则</w:t>
      </w:r>
    </w:p>
    <w:p w:rsidR="00DA5E6D" w:rsidRDefault="008E040F" w:rsidP="00DB04F7">
      <w:pPr>
        <w:widowControl/>
        <w:ind w:firstLineChars="200" w:firstLine="420"/>
        <w:rPr>
          <w:sz w:val="21"/>
          <w:szCs w:val="20"/>
          <w:lang w:eastAsia="zh-CN"/>
        </w:rPr>
      </w:pPr>
      <w:r>
        <w:rPr>
          <w:rFonts w:hint="eastAsia"/>
          <w:sz w:val="21"/>
          <w:szCs w:val="20"/>
          <w:lang w:eastAsia="zh-CN"/>
        </w:rPr>
        <w:t>GB/T 6678 化工产品采样总则</w:t>
      </w:r>
    </w:p>
    <w:p w:rsidR="00DA5E6D" w:rsidRDefault="008E040F" w:rsidP="00DB04F7">
      <w:pPr>
        <w:widowControl/>
        <w:ind w:firstLineChars="200" w:firstLine="420"/>
        <w:rPr>
          <w:sz w:val="21"/>
          <w:szCs w:val="20"/>
          <w:lang w:eastAsia="zh-CN"/>
        </w:rPr>
      </w:pPr>
      <w:r>
        <w:rPr>
          <w:rFonts w:hint="eastAsia"/>
          <w:sz w:val="21"/>
          <w:szCs w:val="20"/>
          <w:lang w:eastAsia="zh-CN"/>
        </w:rPr>
        <w:t>GB/T 6680 液体化工产品采样通则</w:t>
      </w:r>
    </w:p>
    <w:p w:rsidR="00DA5E6D" w:rsidRDefault="008E040F">
      <w:pPr>
        <w:pStyle w:val="af6"/>
        <w:numPr>
          <w:ilvl w:val="0"/>
          <w:numId w:val="3"/>
        </w:numPr>
        <w:spacing w:beforeLines="100" w:before="240" w:afterLines="100" w:after="240"/>
        <w:rPr>
          <w:rFonts w:hAnsi="黑体"/>
          <w:szCs w:val="21"/>
        </w:rPr>
      </w:pPr>
      <w:r>
        <w:rPr>
          <w:rFonts w:hAnsi="黑体" w:hint="eastAsia"/>
          <w:szCs w:val="21"/>
        </w:rPr>
        <w:t>术语和定义</w:t>
      </w:r>
    </w:p>
    <w:p w:rsidR="00DA5E6D" w:rsidRDefault="008E040F" w:rsidP="00DB04F7">
      <w:pPr>
        <w:pStyle w:val="af6"/>
        <w:numPr>
          <w:ilvl w:val="255"/>
          <w:numId w:val="0"/>
        </w:numPr>
        <w:spacing w:beforeLines="0" w:before="120" w:afterLines="0" w:line="300" w:lineRule="auto"/>
        <w:ind w:firstLineChars="200" w:firstLine="420"/>
        <w:rPr>
          <w:rFonts w:ascii="宋体" w:eastAsia="宋体" w:hAnsi="宋体"/>
          <w:szCs w:val="21"/>
        </w:rPr>
      </w:pPr>
      <w:r w:rsidRPr="00DB04F7">
        <w:rPr>
          <w:rFonts w:ascii="宋体" w:eastAsia="宋体" w:hAnsi="宋体" w:hint="eastAsia"/>
          <w:szCs w:val="21"/>
        </w:rPr>
        <w:t>本文件没有需要界定的</w:t>
      </w:r>
      <w:proofErr w:type="gramStart"/>
      <w:r w:rsidRPr="00DB04F7">
        <w:rPr>
          <w:rFonts w:ascii="宋体" w:eastAsia="宋体" w:hAnsi="宋体" w:hint="eastAsia"/>
          <w:szCs w:val="21"/>
        </w:rPr>
        <w:t>的</w:t>
      </w:r>
      <w:proofErr w:type="gramEnd"/>
      <w:r w:rsidRPr="00DB04F7">
        <w:rPr>
          <w:rFonts w:ascii="宋体" w:eastAsia="宋体" w:hAnsi="宋体" w:hint="eastAsia"/>
          <w:szCs w:val="21"/>
        </w:rPr>
        <w:t>术语和定义</w:t>
      </w:r>
    </w:p>
    <w:p w:rsidR="00DA5E6D" w:rsidRPr="00DB04F7" w:rsidRDefault="008E040F">
      <w:pPr>
        <w:pStyle w:val="af6"/>
        <w:numPr>
          <w:ilvl w:val="0"/>
          <w:numId w:val="3"/>
        </w:numPr>
        <w:spacing w:beforeLines="100" w:before="240" w:afterLines="100" w:after="240"/>
        <w:rPr>
          <w:rFonts w:ascii="宋体" w:eastAsia="宋体" w:hAnsi="宋体"/>
          <w:szCs w:val="21"/>
        </w:rPr>
      </w:pPr>
      <w:r>
        <w:rPr>
          <w:rFonts w:hAnsi="黑体" w:hint="eastAsia"/>
          <w:szCs w:val="21"/>
        </w:rPr>
        <w:t>技术要求</w:t>
      </w:r>
    </w:p>
    <w:p w:rsidR="00DA5E6D" w:rsidRDefault="008E040F" w:rsidP="00DB04F7">
      <w:pPr>
        <w:pStyle w:val="af6"/>
        <w:spacing w:before="120" w:afterLines="0"/>
        <w:rPr>
          <w:rFonts w:ascii="宋体" w:eastAsia="宋体" w:hAnsi="宋体"/>
          <w:szCs w:val="21"/>
        </w:rPr>
      </w:pPr>
      <w:r>
        <w:rPr>
          <w:rFonts w:hAnsi="宋体" w:hint="eastAsia"/>
          <w:kern w:val="2"/>
          <w:szCs w:val="21"/>
        </w:rPr>
        <w:t xml:space="preserve">4.1  </w:t>
      </w:r>
      <w:r>
        <w:rPr>
          <w:rFonts w:ascii="宋体" w:eastAsia="宋体" w:hAnsi="宋体" w:hint="eastAsia"/>
          <w:szCs w:val="21"/>
        </w:rPr>
        <w:t>外观：无色透明，无机械杂质。</w:t>
      </w:r>
    </w:p>
    <w:p w:rsidR="00DA5E6D" w:rsidRDefault="008E040F" w:rsidP="00DB04F7">
      <w:pPr>
        <w:pStyle w:val="af5"/>
        <w:ind w:firstLine="0"/>
        <w:rPr>
          <w:rFonts w:hAnsi="宋体"/>
          <w:szCs w:val="21"/>
        </w:rPr>
      </w:pPr>
      <w:r>
        <w:rPr>
          <w:rFonts w:ascii="黑体" w:eastAsia="黑体" w:hAnsi="宋体" w:hint="eastAsia"/>
          <w:szCs w:val="21"/>
        </w:rPr>
        <w:t xml:space="preserve">4.2  </w:t>
      </w:r>
      <w:r>
        <w:rPr>
          <w:rFonts w:hint="eastAsia"/>
          <w:spacing w:val="-1"/>
        </w:rPr>
        <w:t>工业用</w:t>
      </w:r>
      <w:r w:rsidRPr="00DB04F7">
        <w:rPr>
          <w:rFonts w:hint="eastAsia"/>
          <w:spacing w:val="-1"/>
        </w:rPr>
        <w:t>低醛</w:t>
      </w:r>
      <w:r>
        <w:rPr>
          <w:rFonts w:hAnsi="宋体" w:hint="eastAsia"/>
          <w:szCs w:val="21"/>
        </w:rPr>
        <w:t>环氧乙烷应符合</w:t>
      </w:r>
      <w:r>
        <w:rPr>
          <w:rFonts w:hAnsi="宋体" w:cs="宋体" w:hint="eastAsia"/>
          <w:szCs w:val="21"/>
          <w:lang w:val="zh-CN"/>
        </w:rPr>
        <w:t>表</w:t>
      </w:r>
      <w:r>
        <w:rPr>
          <w:rFonts w:hAnsi="宋体"/>
          <w:szCs w:val="21"/>
        </w:rPr>
        <w:t>1</w:t>
      </w:r>
      <w:r>
        <w:rPr>
          <w:rFonts w:hAnsi="宋体" w:hint="eastAsia"/>
          <w:szCs w:val="21"/>
        </w:rPr>
        <w:t>所示</w:t>
      </w:r>
      <w:r>
        <w:rPr>
          <w:rFonts w:hAnsi="宋体" w:cs="宋体" w:hint="eastAsia"/>
          <w:szCs w:val="21"/>
          <w:lang w:val="zh-CN"/>
        </w:rPr>
        <w:t>的技术要求。</w:t>
      </w:r>
    </w:p>
    <w:p w:rsidR="00DA5E6D" w:rsidRDefault="008E040F">
      <w:pPr>
        <w:pStyle w:val="af5"/>
        <w:widowControl/>
        <w:tabs>
          <w:tab w:val="center" w:pos="4201"/>
          <w:tab w:val="right" w:leader="dot" w:pos="9298"/>
        </w:tabs>
        <w:autoSpaceDE w:val="0"/>
        <w:autoSpaceDN w:val="0"/>
        <w:spacing w:line="360" w:lineRule="auto"/>
        <w:ind w:firstLine="0"/>
        <w:jc w:val="center"/>
        <w:rPr>
          <w:rFonts w:ascii="黑体" w:eastAsia="黑体" w:hAnsi="黑体"/>
          <w:kern w:val="0"/>
          <w:szCs w:val="21"/>
        </w:rPr>
      </w:pPr>
      <w:r>
        <w:rPr>
          <w:rFonts w:ascii="黑体" w:eastAsia="黑体" w:hAnsi="黑体" w:hint="eastAsia"/>
          <w:kern w:val="0"/>
          <w:szCs w:val="21"/>
        </w:rPr>
        <w:t xml:space="preserve">表1 </w:t>
      </w:r>
      <w:r>
        <w:rPr>
          <w:rFonts w:ascii="黑体" w:eastAsia="黑体" w:hAnsi="黑体"/>
          <w:kern w:val="0"/>
          <w:szCs w:val="21"/>
        </w:rPr>
        <w:t xml:space="preserve"> </w:t>
      </w:r>
      <w:r>
        <w:rPr>
          <w:rFonts w:ascii="黑体" w:eastAsia="黑体" w:hAnsi="黑体" w:hint="eastAsia"/>
          <w:kern w:val="0"/>
          <w:szCs w:val="21"/>
        </w:rPr>
        <w:t>技术要求</w:t>
      </w:r>
    </w:p>
    <w:tbl>
      <w:tblPr>
        <w:tblStyle w:val="af0"/>
        <w:tblW w:w="0" w:type="auto"/>
        <w:jc w:val="center"/>
        <w:tblLook w:val="04A0" w:firstRow="1" w:lastRow="0" w:firstColumn="1" w:lastColumn="0" w:noHBand="0" w:noVBand="1"/>
      </w:tblPr>
      <w:tblGrid>
        <w:gridCol w:w="846"/>
        <w:gridCol w:w="3827"/>
        <w:gridCol w:w="4111"/>
      </w:tblGrid>
      <w:tr w:rsidR="00DA5E6D">
        <w:trPr>
          <w:jc w:val="center"/>
        </w:trPr>
        <w:tc>
          <w:tcPr>
            <w:tcW w:w="846" w:type="dxa"/>
            <w:vAlign w:val="center"/>
          </w:tcPr>
          <w:p w:rsidR="00DA5E6D" w:rsidRDefault="008E040F">
            <w:pPr>
              <w:pStyle w:val="af5"/>
              <w:widowControl/>
              <w:tabs>
                <w:tab w:val="center" w:pos="4201"/>
                <w:tab w:val="right" w:leader="dot" w:pos="9298"/>
              </w:tabs>
              <w:autoSpaceDE w:val="0"/>
              <w:autoSpaceDN w:val="0"/>
              <w:spacing w:line="360" w:lineRule="exact"/>
              <w:ind w:firstLine="0"/>
              <w:jc w:val="center"/>
              <w:rPr>
                <w:kern w:val="0"/>
                <w:sz w:val="18"/>
                <w:szCs w:val="18"/>
              </w:rPr>
            </w:pPr>
            <w:r>
              <w:rPr>
                <w:rFonts w:hint="eastAsia"/>
                <w:kern w:val="0"/>
                <w:sz w:val="18"/>
                <w:szCs w:val="18"/>
              </w:rPr>
              <w:t>序号</w:t>
            </w:r>
          </w:p>
        </w:tc>
        <w:tc>
          <w:tcPr>
            <w:tcW w:w="3827" w:type="dxa"/>
            <w:vAlign w:val="center"/>
          </w:tcPr>
          <w:p w:rsidR="00DA5E6D" w:rsidRDefault="008E040F">
            <w:pPr>
              <w:pStyle w:val="af5"/>
              <w:widowControl/>
              <w:tabs>
                <w:tab w:val="center" w:pos="4201"/>
                <w:tab w:val="right" w:leader="dot" w:pos="9298"/>
              </w:tabs>
              <w:autoSpaceDE w:val="0"/>
              <w:autoSpaceDN w:val="0"/>
              <w:spacing w:line="360" w:lineRule="exact"/>
              <w:ind w:firstLine="0"/>
              <w:jc w:val="center"/>
              <w:rPr>
                <w:kern w:val="0"/>
                <w:sz w:val="18"/>
                <w:szCs w:val="18"/>
              </w:rPr>
            </w:pPr>
            <w:r>
              <w:rPr>
                <w:rFonts w:hint="eastAsia"/>
                <w:kern w:val="0"/>
                <w:sz w:val="18"/>
                <w:szCs w:val="18"/>
              </w:rPr>
              <w:t xml:space="preserve">项 </w:t>
            </w:r>
            <w:r>
              <w:rPr>
                <w:kern w:val="0"/>
                <w:sz w:val="18"/>
                <w:szCs w:val="18"/>
              </w:rPr>
              <w:t xml:space="preserve">   </w:t>
            </w:r>
            <w:r>
              <w:rPr>
                <w:rFonts w:hint="eastAsia"/>
                <w:kern w:val="0"/>
                <w:sz w:val="18"/>
                <w:szCs w:val="18"/>
              </w:rPr>
              <w:t>目</w:t>
            </w:r>
          </w:p>
        </w:tc>
        <w:tc>
          <w:tcPr>
            <w:tcW w:w="4111" w:type="dxa"/>
            <w:vAlign w:val="center"/>
          </w:tcPr>
          <w:p w:rsidR="00DA5E6D" w:rsidRDefault="008E040F">
            <w:pPr>
              <w:pStyle w:val="af5"/>
              <w:widowControl/>
              <w:tabs>
                <w:tab w:val="center" w:pos="4201"/>
                <w:tab w:val="right" w:leader="dot" w:pos="9298"/>
              </w:tabs>
              <w:autoSpaceDE w:val="0"/>
              <w:autoSpaceDN w:val="0"/>
              <w:spacing w:line="360" w:lineRule="exact"/>
              <w:ind w:firstLine="0"/>
              <w:jc w:val="center"/>
              <w:rPr>
                <w:kern w:val="0"/>
                <w:sz w:val="18"/>
                <w:szCs w:val="18"/>
              </w:rPr>
            </w:pPr>
            <w:r>
              <w:rPr>
                <w:rFonts w:hint="eastAsia"/>
                <w:kern w:val="0"/>
                <w:sz w:val="18"/>
                <w:szCs w:val="18"/>
              </w:rPr>
              <w:t xml:space="preserve">指 </w:t>
            </w:r>
            <w:r>
              <w:rPr>
                <w:kern w:val="0"/>
                <w:sz w:val="18"/>
                <w:szCs w:val="18"/>
              </w:rPr>
              <w:t xml:space="preserve"> </w:t>
            </w:r>
            <w:r>
              <w:rPr>
                <w:rFonts w:hint="eastAsia"/>
                <w:kern w:val="0"/>
                <w:sz w:val="18"/>
                <w:szCs w:val="18"/>
              </w:rPr>
              <w:t>标</w:t>
            </w:r>
          </w:p>
        </w:tc>
      </w:tr>
      <w:tr w:rsidR="00DA5E6D">
        <w:trPr>
          <w:jc w:val="center"/>
        </w:trPr>
        <w:tc>
          <w:tcPr>
            <w:tcW w:w="846" w:type="dxa"/>
            <w:vAlign w:val="center"/>
          </w:tcPr>
          <w:p w:rsidR="00DA5E6D" w:rsidRDefault="008E040F">
            <w:pPr>
              <w:pStyle w:val="af5"/>
              <w:widowControl/>
              <w:tabs>
                <w:tab w:val="center" w:pos="4201"/>
                <w:tab w:val="right" w:leader="dot" w:pos="9298"/>
              </w:tabs>
              <w:autoSpaceDE w:val="0"/>
              <w:autoSpaceDN w:val="0"/>
              <w:spacing w:line="360" w:lineRule="exact"/>
              <w:ind w:firstLine="0"/>
              <w:jc w:val="center"/>
              <w:rPr>
                <w:kern w:val="0"/>
                <w:sz w:val="18"/>
                <w:szCs w:val="18"/>
              </w:rPr>
            </w:pPr>
            <w:r>
              <w:rPr>
                <w:rFonts w:hint="eastAsia"/>
                <w:kern w:val="0"/>
                <w:sz w:val="18"/>
                <w:szCs w:val="18"/>
              </w:rPr>
              <w:t>1</w:t>
            </w:r>
          </w:p>
        </w:tc>
        <w:tc>
          <w:tcPr>
            <w:tcW w:w="3827" w:type="dxa"/>
            <w:vAlign w:val="center"/>
          </w:tcPr>
          <w:p w:rsidR="00DA5E6D" w:rsidRPr="00DB04F7" w:rsidRDefault="008E040F">
            <w:pPr>
              <w:pStyle w:val="ae"/>
              <w:widowControl/>
              <w:rPr>
                <w:rFonts w:ascii="宋体" w:eastAsia="宋体" w:hAnsi="Times New Roman"/>
                <w:color w:val="000000" w:themeColor="text1"/>
                <w:sz w:val="18"/>
                <w:szCs w:val="18"/>
              </w:rPr>
            </w:pPr>
            <w:r w:rsidRPr="00DB04F7">
              <w:rPr>
                <w:rFonts w:ascii="宋体" w:eastAsia="宋体" w:hAnsi="Times New Roman" w:hint="eastAsia"/>
                <w:color w:val="000000" w:themeColor="text1"/>
                <w:sz w:val="18"/>
                <w:szCs w:val="18"/>
              </w:rPr>
              <w:t>环氧乙烷/%（质量分数）</w:t>
            </w:r>
            <w:r w:rsidRPr="00DB04F7">
              <w:rPr>
                <w:rFonts w:ascii="宋体" w:eastAsia="宋体" w:hAnsi="Times New Roman"/>
                <w:color w:val="000000" w:themeColor="text1"/>
                <w:sz w:val="18"/>
                <w:szCs w:val="18"/>
              </w:rPr>
              <w:t xml:space="preserve">              </w:t>
            </w:r>
            <w:r w:rsidRPr="00DB04F7">
              <w:rPr>
                <w:rFonts w:ascii="宋体" w:eastAsia="宋体" w:hAnsi="Times New Roman" w:hint="eastAsia"/>
                <w:color w:val="000000" w:themeColor="text1"/>
                <w:sz w:val="18"/>
                <w:szCs w:val="18"/>
              </w:rPr>
              <w:t>≥</w:t>
            </w:r>
          </w:p>
        </w:tc>
        <w:tc>
          <w:tcPr>
            <w:tcW w:w="4111" w:type="dxa"/>
            <w:vAlign w:val="center"/>
          </w:tcPr>
          <w:p w:rsidR="00DA5E6D" w:rsidRPr="00DB04F7" w:rsidRDefault="008E040F">
            <w:pPr>
              <w:pStyle w:val="ae"/>
              <w:widowControl/>
              <w:jc w:val="center"/>
              <w:rPr>
                <w:rFonts w:ascii="宋体" w:eastAsia="宋体" w:hAnsi="Times New Roman"/>
                <w:color w:val="000000" w:themeColor="text1"/>
                <w:sz w:val="18"/>
                <w:szCs w:val="18"/>
              </w:rPr>
            </w:pPr>
            <w:r w:rsidRPr="00DB04F7">
              <w:rPr>
                <w:rFonts w:ascii="宋体" w:eastAsia="宋体" w:hAnsi="Times New Roman"/>
                <w:color w:val="000000" w:themeColor="text1"/>
                <w:sz w:val="18"/>
                <w:szCs w:val="18"/>
              </w:rPr>
              <w:t>99.9</w:t>
            </w:r>
            <w:r>
              <w:rPr>
                <w:rFonts w:ascii="宋体" w:eastAsia="宋体" w:hAnsi="Times New Roman" w:hint="eastAsia"/>
                <w:color w:val="000000" w:themeColor="text1"/>
                <w:sz w:val="18"/>
                <w:szCs w:val="18"/>
              </w:rPr>
              <w:t>8</w:t>
            </w:r>
          </w:p>
        </w:tc>
      </w:tr>
      <w:tr w:rsidR="00DA5E6D">
        <w:trPr>
          <w:jc w:val="center"/>
        </w:trPr>
        <w:tc>
          <w:tcPr>
            <w:tcW w:w="846" w:type="dxa"/>
            <w:vAlign w:val="center"/>
          </w:tcPr>
          <w:p w:rsidR="00DA5E6D" w:rsidRDefault="008E040F">
            <w:pPr>
              <w:pStyle w:val="af5"/>
              <w:widowControl/>
              <w:tabs>
                <w:tab w:val="center" w:pos="4201"/>
                <w:tab w:val="right" w:leader="dot" w:pos="9298"/>
              </w:tabs>
              <w:autoSpaceDE w:val="0"/>
              <w:autoSpaceDN w:val="0"/>
              <w:spacing w:line="360" w:lineRule="exact"/>
              <w:ind w:firstLine="0"/>
              <w:jc w:val="center"/>
              <w:rPr>
                <w:kern w:val="0"/>
                <w:sz w:val="18"/>
                <w:szCs w:val="18"/>
              </w:rPr>
            </w:pPr>
            <w:r>
              <w:rPr>
                <w:rFonts w:hint="eastAsia"/>
                <w:kern w:val="0"/>
                <w:sz w:val="18"/>
                <w:szCs w:val="18"/>
              </w:rPr>
              <w:t>2</w:t>
            </w:r>
          </w:p>
        </w:tc>
        <w:tc>
          <w:tcPr>
            <w:tcW w:w="3827" w:type="dxa"/>
            <w:vAlign w:val="center"/>
          </w:tcPr>
          <w:p w:rsidR="00DA5E6D" w:rsidRDefault="008E040F">
            <w:pPr>
              <w:pStyle w:val="ae"/>
              <w:widowControl/>
              <w:rPr>
                <w:rFonts w:ascii="宋体" w:eastAsia="宋体" w:hAnsi="Times New Roman"/>
                <w:sz w:val="18"/>
                <w:szCs w:val="18"/>
              </w:rPr>
            </w:pPr>
            <w:r>
              <w:rPr>
                <w:rFonts w:ascii="宋体" w:eastAsia="宋体" w:hAnsi="Times New Roman"/>
                <w:sz w:val="18"/>
                <w:szCs w:val="18"/>
              </w:rPr>
              <w:t>总醛（以乙醛计）/%（质量分数）</w:t>
            </w:r>
            <w:r>
              <w:rPr>
                <w:rFonts w:ascii="宋体" w:eastAsia="宋体" w:hAnsi="Times New Roman" w:hint="eastAsia"/>
                <w:sz w:val="18"/>
                <w:szCs w:val="18"/>
              </w:rPr>
              <w:t xml:space="preserve">      </w:t>
            </w:r>
            <w:r>
              <w:rPr>
                <w:rFonts w:ascii="宋体" w:eastAsia="宋体" w:hAnsi="Times New Roman"/>
                <w:sz w:val="18"/>
                <w:szCs w:val="18"/>
              </w:rPr>
              <w:t>≤</w:t>
            </w:r>
          </w:p>
        </w:tc>
        <w:tc>
          <w:tcPr>
            <w:tcW w:w="4111" w:type="dxa"/>
            <w:vAlign w:val="center"/>
          </w:tcPr>
          <w:p w:rsidR="00DA5E6D" w:rsidRDefault="008E040F">
            <w:pPr>
              <w:pStyle w:val="ae"/>
              <w:widowControl/>
              <w:jc w:val="center"/>
              <w:rPr>
                <w:rFonts w:ascii="宋体" w:eastAsia="宋体" w:hAnsi="Times New Roman"/>
                <w:sz w:val="18"/>
                <w:szCs w:val="18"/>
              </w:rPr>
            </w:pPr>
            <w:r>
              <w:rPr>
                <w:rFonts w:ascii="宋体" w:eastAsia="宋体" w:hAnsi="Times New Roman"/>
                <w:sz w:val="18"/>
                <w:szCs w:val="18"/>
              </w:rPr>
              <w:t>0.001</w:t>
            </w:r>
          </w:p>
        </w:tc>
      </w:tr>
      <w:tr w:rsidR="00DA5E6D">
        <w:trPr>
          <w:jc w:val="center"/>
        </w:trPr>
        <w:tc>
          <w:tcPr>
            <w:tcW w:w="846" w:type="dxa"/>
            <w:vAlign w:val="center"/>
          </w:tcPr>
          <w:p w:rsidR="00DA5E6D" w:rsidRDefault="008E040F">
            <w:pPr>
              <w:pStyle w:val="af5"/>
              <w:widowControl/>
              <w:tabs>
                <w:tab w:val="center" w:pos="4201"/>
                <w:tab w:val="right" w:leader="dot" w:pos="9298"/>
              </w:tabs>
              <w:autoSpaceDE w:val="0"/>
              <w:autoSpaceDN w:val="0"/>
              <w:spacing w:line="360" w:lineRule="exact"/>
              <w:ind w:firstLine="0"/>
              <w:jc w:val="center"/>
              <w:rPr>
                <w:kern w:val="0"/>
                <w:sz w:val="18"/>
                <w:szCs w:val="18"/>
              </w:rPr>
            </w:pPr>
            <w:r>
              <w:rPr>
                <w:rFonts w:hint="eastAsia"/>
                <w:kern w:val="0"/>
                <w:sz w:val="18"/>
                <w:szCs w:val="18"/>
              </w:rPr>
              <w:t>3</w:t>
            </w:r>
          </w:p>
        </w:tc>
        <w:tc>
          <w:tcPr>
            <w:tcW w:w="3827" w:type="dxa"/>
            <w:vAlign w:val="center"/>
          </w:tcPr>
          <w:p w:rsidR="00DA5E6D" w:rsidRDefault="008E040F">
            <w:pPr>
              <w:pStyle w:val="ae"/>
              <w:widowControl/>
              <w:rPr>
                <w:rFonts w:ascii="宋体" w:eastAsia="宋体" w:hAnsi="Times New Roman"/>
                <w:sz w:val="18"/>
                <w:szCs w:val="18"/>
              </w:rPr>
            </w:pPr>
            <w:r>
              <w:rPr>
                <w:rFonts w:ascii="宋体" w:eastAsia="宋体" w:hAnsi="Times New Roman"/>
                <w:sz w:val="18"/>
                <w:szCs w:val="18"/>
              </w:rPr>
              <w:t>水/%（质量分数）</w:t>
            </w:r>
            <w:r>
              <w:rPr>
                <w:rFonts w:ascii="宋体" w:eastAsia="宋体" w:hAnsi="Times New Roman" w:hint="eastAsia"/>
                <w:sz w:val="18"/>
                <w:szCs w:val="18"/>
              </w:rPr>
              <w:t xml:space="preserve">                    </w:t>
            </w:r>
            <w:r>
              <w:rPr>
                <w:rFonts w:ascii="宋体" w:eastAsia="宋体" w:hAnsi="Times New Roman"/>
                <w:sz w:val="18"/>
                <w:szCs w:val="18"/>
              </w:rPr>
              <w:t>≤</w:t>
            </w:r>
          </w:p>
        </w:tc>
        <w:tc>
          <w:tcPr>
            <w:tcW w:w="4111" w:type="dxa"/>
            <w:vAlign w:val="center"/>
          </w:tcPr>
          <w:p w:rsidR="00DA5E6D" w:rsidRDefault="008E040F">
            <w:pPr>
              <w:pStyle w:val="ae"/>
              <w:widowControl/>
              <w:jc w:val="center"/>
              <w:rPr>
                <w:rFonts w:ascii="宋体" w:eastAsia="宋体" w:hAnsi="Times New Roman"/>
                <w:sz w:val="18"/>
                <w:szCs w:val="18"/>
              </w:rPr>
            </w:pPr>
            <w:r>
              <w:rPr>
                <w:rFonts w:ascii="宋体" w:eastAsia="宋体" w:hAnsi="Times New Roman"/>
                <w:sz w:val="18"/>
                <w:szCs w:val="18"/>
              </w:rPr>
              <w:t>0.01</w:t>
            </w:r>
          </w:p>
        </w:tc>
      </w:tr>
      <w:tr w:rsidR="00DA5E6D">
        <w:trPr>
          <w:jc w:val="center"/>
        </w:trPr>
        <w:tc>
          <w:tcPr>
            <w:tcW w:w="846" w:type="dxa"/>
            <w:vAlign w:val="center"/>
          </w:tcPr>
          <w:p w:rsidR="00DA5E6D" w:rsidRDefault="008E040F">
            <w:pPr>
              <w:pStyle w:val="af5"/>
              <w:widowControl/>
              <w:tabs>
                <w:tab w:val="center" w:pos="4201"/>
                <w:tab w:val="right" w:leader="dot" w:pos="9298"/>
              </w:tabs>
              <w:autoSpaceDE w:val="0"/>
              <w:autoSpaceDN w:val="0"/>
              <w:spacing w:line="360" w:lineRule="exact"/>
              <w:ind w:firstLine="0"/>
              <w:jc w:val="center"/>
              <w:rPr>
                <w:kern w:val="0"/>
                <w:sz w:val="18"/>
                <w:szCs w:val="18"/>
              </w:rPr>
            </w:pPr>
            <w:r>
              <w:rPr>
                <w:rFonts w:hint="eastAsia"/>
                <w:kern w:val="0"/>
                <w:sz w:val="18"/>
                <w:szCs w:val="18"/>
              </w:rPr>
              <w:t>4</w:t>
            </w:r>
          </w:p>
        </w:tc>
        <w:tc>
          <w:tcPr>
            <w:tcW w:w="3827" w:type="dxa"/>
            <w:vAlign w:val="center"/>
          </w:tcPr>
          <w:p w:rsidR="00DA5E6D" w:rsidRDefault="008E040F">
            <w:pPr>
              <w:pStyle w:val="ae"/>
              <w:widowControl/>
              <w:rPr>
                <w:rFonts w:ascii="宋体" w:eastAsia="宋体" w:hAnsi="Times New Roman"/>
                <w:sz w:val="18"/>
                <w:szCs w:val="18"/>
              </w:rPr>
            </w:pPr>
            <w:r>
              <w:rPr>
                <w:rFonts w:ascii="宋体" w:eastAsia="宋体" w:hAnsi="Times New Roman"/>
                <w:sz w:val="18"/>
                <w:szCs w:val="18"/>
              </w:rPr>
              <w:t>酸（以乙酸计）/%（质量分数）</w:t>
            </w:r>
            <w:r>
              <w:rPr>
                <w:rFonts w:ascii="宋体" w:eastAsia="宋体" w:hAnsi="Times New Roman" w:hint="eastAsia"/>
                <w:sz w:val="18"/>
                <w:szCs w:val="18"/>
              </w:rPr>
              <w:t xml:space="preserve">        </w:t>
            </w:r>
            <w:r>
              <w:rPr>
                <w:rFonts w:ascii="宋体" w:eastAsia="宋体" w:hAnsi="Times New Roman"/>
                <w:sz w:val="18"/>
                <w:szCs w:val="18"/>
              </w:rPr>
              <w:t>≤</w:t>
            </w:r>
          </w:p>
        </w:tc>
        <w:tc>
          <w:tcPr>
            <w:tcW w:w="4111" w:type="dxa"/>
            <w:vAlign w:val="center"/>
          </w:tcPr>
          <w:p w:rsidR="00DA5E6D" w:rsidRDefault="008E040F">
            <w:pPr>
              <w:pStyle w:val="ae"/>
              <w:widowControl/>
              <w:jc w:val="center"/>
              <w:rPr>
                <w:rFonts w:ascii="宋体" w:eastAsia="宋体" w:hAnsi="Times New Roman"/>
                <w:sz w:val="18"/>
                <w:szCs w:val="18"/>
              </w:rPr>
            </w:pPr>
            <w:r>
              <w:rPr>
                <w:rFonts w:ascii="宋体" w:eastAsia="宋体" w:hAnsi="Times New Roman"/>
                <w:sz w:val="18"/>
                <w:szCs w:val="18"/>
              </w:rPr>
              <w:t>0.002</w:t>
            </w:r>
          </w:p>
        </w:tc>
      </w:tr>
      <w:tr w:rsidR="00DA5E6D">
        <w:trPr>
          <w:jc w:val="center"/>
        </w:trPr>
        <w:tc>
          <w:tcPr>
            <w:tcW w:w="846" w:type="dxa"/>
            <w:vAlign w:val="center"/>
          </w:tcPr>
          <w:p w:rsidR="00DA5E6D" w:rsidRDefault="008E040F">
            <w:pPr>
              <w:pStyle w:val="af5"/>
              <w:widowControl/>
              <w:tabs>
                <w:tab w:val="center" w:pos="4201"/>
                <w:tab w:val="right" w:leader="dot" w:pos="9298"/>
              </w:tabs>
              <w:autoSpaceDE w:val="0"/>
              <w:autoSpaceDN w:val="0"/>
              <w:spacing w:line="360" w:lineRule="exact"/>
              <w:ind w:firstLine="0"/>
              <w:jc w:val="center"/>
              <w:rPr>
                <w:kern w:val="0"/>
                <w:sz w:val="18"/>
                <w:szCs w:val="18"/>
              </w:rPr>
            </w:pPr>
            <w:r>
              <w:rPr>
                <w:kern w:val="0"/>
                <w:sz w:val="18"/>
                <w:szCs w:val="18"/>
              </w:rPr>
              <w:t>5</w:t>
            </w:r>
          </w:p>
        </w:tc>
        <w:tc>
          <w:tcPr>
            <w:tcW w:w="3827" w:type="dxa"/>
            <w:vAlign w:val="center"/>
          </w:tcPr>
          <w:p w:rsidR="00DA5E6D" w:rsidRDefault="008E040F">
            <w:pPr>
              <w:pStyle w:val="ae"/>
              <w:widowControl/>
              <w:rPr>
                <w:rFonts w:ascii="宋体" w:eastAsia="宋体" w:hAnsi="Times New Roman"/>
                <w:sz w:val="18"/>
                <w:szCs w:val="18"/>
              </w:rPr>
            </w:pPr>
            <w:r>
              <w:rPr>
                <w:rFonts w:ascii="宋体" w:eastAsia="宋体" w:hAnsi="Times New Roman" w:hint="eastAsia"/>
                <w:sz w:val="18"/>
                <w:szCs w:val="18"/>
              </w:rPr>
              <w:t>二氧化碳</w:t>
            </w:r>
            <w:r>
              <w:rPr>
                <w:rFonts w:ascii="宋体" w:eastAsia="宋体" w:hAnsi="Times New Roman"/>
                <w:sz w:val="18"/>
                <w:szCs w:val="18"/>
              </w:rPr>
              <w:t>/%</w:t>
            </w:r>
            <w:r>
              <w:rPr>
                <w:rFonts w:ascii="宋体" w:eastAsia="宋体" w:hAnsi="Times New Roman" w:hint="eastAsia"/>
                <w:sz w:val="18"/>
                <w:szCs w:val="18"/>
              </w:rPr>
              <w:t>（质量分数）</w:t>
            </w:r>
            <w:r>
              <w:rPr>
                <w:rFonts w:ascii="宋体" w:eastAsia="宋体" w:hAnsi="Times New Roman"/>
                <w:sz w:val="18"/>
                <w:szCs w:val="18"/>
              </w:rPr>
              <w:t xml:space="preserve">              </w:t>
            </w:r>
            <w:r>
              <w:rPr>
                <w:rFonts w:ascii="宋体" w:eastAsia="宋体" w:hAnsi="Times New Roman" w:hint="eastAsia"/>
                <w:sz w:val="18"/>
                <w:szCs w:val="18"/>
              </w:rPr>
              <w:t>≤</w:t>
            </w:r>
          </w:p>
        </w:tc>
        <w:tc>
          <w:tcPr>
            <w:tcW w:w="4111" w:type="dxa"/>
            <w:vAlign w:val="center"/>
          </w:tcPr>
          <w:p w:rsidR="00DA5E6D" w:rsidRDefault="008E040F">
            <w:pPr>
              <w:pStyle w:val="ae"/>
              <w:widowControl/>
              <w:jc w:val="center"/>
              <w:rPr>
                <w:rFonts w:ascii="宋体" w:eastAsia="宋体" w:hAnsi="Times New Roman"/>
                <w:sz w:val="18"/>
                <w:szCs w:val="18"/>
              </w:rPr>
            </w:pPr>
            <w:r>
              <w:rPr>
                <w:rFonts w:ascii="宋体" w:eastAsia="宋体" w:hAnsi="Times New Roman"/>
                <w:sz w:val="18"/>
                <w:szCs w:val="18"/>
              </w:rPr>
              <w:t>0.00</w:t>
            </w:r>
            <w:r>
              <w:rPr>
                <w:rFonts w:ascii="宋体" w:eastAsia="宋体" w:hAnsi="Times New Roman" w:hint="eastAsia"/>
                <w:sz w:val="18"/>
                <w:szCs w:val="18"/>
              </w:rPr>
              <w:t>1</w:t>
            </w:r>
          </w:p>
        </w:tc>
      </w:tr>
      <w:tr w:rsidR="00DA5E6D">
        <w:trPr>
          <w:jc w:val="center"/>
        </w:trPr>
        <w:tc>
          <w:tcPr>
            <w:tcW w:w="846" w:type="dxa"/>
            <w:vAlign w:val="center"/>
          </w:tcPr>
          <w:p w:rsidR="00DA5E6D" w:rsidRDefault="008E040F">
            <w:pPr>
              <w:pStyle w:val="af5"/>
              <w:widowControl/>
              <w:tabs>
                <w:tab w:val="center" w:pos="0"/>
              </w:tabs>
              <w:autoSpaceDE w:val="0"/>
              <w:autoSpaceDN w:val="0"/>
              <w:spacing w:line="360" w:lineRule="exact"/>
              <w:ind w:firstLine="0"/>
              <w:jc w:val="center"/>
              <w:rPr>
                <w:kern w:val="0"/>
                <w:sz w:val="18"/>
                <w:szCs w:val="18"/>
              </w:rPr>
            </w:pPr>
            <w:r>
              <w:rPr>
                <w:kern w:val="0"/>
                <w:sz w:val="18"/>
                <w:szCs w:val="18"/>
              </w:rPr>
              <w:t>6</w:t>
            </w:r>
          </w:p>
        </w:tc>
        <w:tc>
          <w:tcPr>
            <w:tcW w:w="3827" w:type="dxa"/>
            <w:vAlign w:val="center"/>
          </w:tcPr>
          <w:p w:rsidR="00DA5E6D" w:rsidRDefault="008E040F">
            <w:pPr>
              <w:pStyle w:val="ae"/>
              <w:widowControl/>
              <w:rPr>
                <w:rFonts w:ascii="宋体" w:eastAsia="宋体" w:hAnsi="Times New Roman"/>
                <w:sz w:val="18"/>
                <w:szCs w:val="18"/>
              </w:rPr>
            </w:pPr>
            <w:r>
              <w:rPr>
                <w:rFonts w:ascii="宋体" w:eastAsia="宋体" w:hAnsi="Times New Roman" w:hint="eastAsia"/>
                <w:sz w:val="18"/>
                <w:szCs w:val="18"/>
              </w:rPr>
              <w:t>色度</w:t>
            </w:r>
            <w:r>
              <w:rPr>
                <w:rFonts w:ascii="宋体" w:eastAsia="宋体" w:hAnsi="Times New Roman"/>
                <w:sz w:val="18"/>
                <w:szCs w:val="18"/>
              </w:rPr>
              <w:t>/Hazen</w:t>
            </w:r>
            <w:r>
              <w:rPr>
                <w:rFonts w:ascii="宋体" w:eastAsia="宋体" w:hAnsi="Times New Roman" w:hint="eastAsia"/>
                <w:sz w:val="18"/>
                <w:szCs w:val="18"/>
              </w:rPr>
              <w:t>单位（铂</w:t>
            </w:r>
            <w:r>
              <w:rPr>
                <w:rFonts w:ascii="宋体" w:eastAsia="宋体" w:hAnsi="Times New Roman"/>
                <w:sz w:val="18"/>
                <w:szCs w:val="18"/>
              </w:rPr>
              <w:t>-</w:t>
            </w:r>
            <w:proofErr w:type="gramStart"/>
            <w:r>
              <w:rPr>
                <w:rFonts w:ascii="宋体" w:eastAsia="宋体" w:hAnsi="Times New Roman" w:hint="eastAsia"/>
                <w:sz w:val="18"/>
                <w:szCs w:val="18"/>
              </w:rPr>
              <w:t>钴色号</w:t>
            </w:r>
            <w:proofErr w:type="gramEnd"/>
            <w:r>
              <w:rPr>
                <w:rFonts w:ascii="宋体" w:eastAsia="宋体" w:hAnsi="Times New Roman" w:hint="eastAsia"/>
                <w:sz w:val="18"/>
                <w:szCs w:val="18"/>
              </w:rPr>
              <w:t>）</w:t>
            </w:r>
            <w:r>
              <w:rPr>
                <w:rFonts w:ascii="宋体" w:eastAsia="宋体" w:hAnsi="Times New Roman"/>
                <w:sz w:val="18"/>
                <w:szCs w:val="18"/>
              </w:rPr>
              <w:t xml:space="preserve">         </w:t>
            </w:r>
            <w:r>
              <w:rPr>
                <w:rFonts w:ascii="宋体" w:eastAsia="宋体" w:hAnsi="Times New Roman" w:hint="eastAsia"/>
                <w:sz w:val="18"/>
                <w:szCs w:val="18"/>
              </w:rPr>
              <w:t>≤</w:t>
            </w:r>
          </w:p>
        </w:tc>
        <w:tc>
          <w:tcPr>
            <w:tcW w:w="4111" w:type="dxa"/>
            <w:vAlign w:val="center"/>
          </w:tcPr>
          <w:p w:rsidR="00DA5E6D" w:rsidRDefault="008E040F">
            <w:pPr>
              <w:pStyle w:val="ae"/>
              <w:widowControl/>
              <w:jc w:val="center"/>
              <w:rPr>
                <w:rFonts w:ascii="宋体" w:eastAsia="宋体" w:hAnsi="Times New Roman"/>
                <w:sz w:val="18"/>
                <w:szCs w:val="18"/>
              </w:rPr>
            </w:pPr>
            <w:r>
              <w:rPr>
                <w:rFonts w:ascii="宋体" w:eastAsia="宋体" w:hAnsi="Times New Roman"/>
                <w:sz w:val="18"/>
                <w:szCs w:val="18"/>
              </w:rPr>
              <w:t>5</w:t>
            </w:r>
          </w:p>
        </w:tc>
      </w:tr>
    </w:tbl>
    <w:p w:rsidR="00DA5E6D" w:rsidRDefault="008E040F">
      <w:pPr>
        <w:pStyle w:val="af6"/>
        <w:numPr>
          <w:ilvl w:val="0"/>
          <w:numId w:val="3"/>
        </w:numPr>
        <w:spacing w:beforeLines="100" w:before="240" w:afterLines="100" w:after="240"/>
        <w:rPr>
          <w:rFonts w:hAnsi="黑体"/>
          <w:szCs w:val="21"/>
        </w:rPr>
      </w:pPr>
      <w:r>
        <w:rPr>
          <w:rFonts w:hAnsi="黑体" w:hint="eastAsia"/>
          <w:szCs w:val="21"/>
        </w:rPr>
        <w:t>试验方法</w:t>
      </w:r>
    </w:p>
    <w:p w:rsidR="00DA5E6D" w:rsidRPr="00DB04F7" w:rsidRDefault="008E040F" w:rsidP="00DB04F7">
      <w:pPr>
        <w:pStyle w:val="afc"/>
        <w:ind w:firstLine="420"/>
        <w:rPr>
          <w:rFonts w:hAnsi="宋体"/>
          <w:szCs w:val="21"/>
        </w:rPr>
      </w:pPr>
      <w:bookmarkStart w:id="1" w:name="_Hlk132361578"/>
      <w:r w:rsidRPr="00DB04F7">
        <w:rPr>
          <w:rFonts w:hAnsi="宋体" w:hint="eastAsia"/>
          <w:szCs w:val="21"/>
        </w:rPr>
        <w:lastRenderedPageBreak/>
        <w:t>按照GB/T</w:t>
      </w:r>
      <w:r w:rsidRPr="00DB04F7">
        <w:rPr>
          <w:rFonts w:hAnsi="宋体"/>
          <w:szCs w:val="21"/>
        </w:rPr>
        <w:t xml:space="preserve"> 13098  </w:t>
      </w:r>
      <w:r w:rsidRPr="00DB04F7">
        <w:rPr>
          <w:rFonts w:hAnsi="宋体" w:hint="eastAsia"/>
          <w:szCs w:val="21"/>
        </w:rPr>
        <w:t>《工业用环氧乙烷》中</w:t>
      </w:r>
      <w:r w:rsidRPr="00DB04F7">
        <w:rPr>
          <w:rFonts w:hAnsi="宋体"/>
          <w:szCs w:val="21"/>
        </w:rPr>
        <w:t>4.1</w:t>
      </w:r>
      <w:r w:rsidRPr="00DB04F7">
        <w:rPr>
          <w:rFonts w:hAnsi="宋体" w:hint="eastAsia"/>
          <w:szCs w:val="21"/>
        </w:rPr>
        <w:t>至</w:t>
      </w:r>
      <w:r w:rsidRPr="00DB04F7">
        <w:rPr>
          <w:rFonts w:hAnsi="宋体"/>
          <w:szCs w:val="21"/>
        </w:rPr>
        <w:t>4.9要求执行。</w:t>
      </w:r>
    </w:p>
    <w:p w:rsidR="00DA5E6D" w:rsidRDefault="008E040F">
      <w:pPr>
        <w:pStyle w:val="af6"/>
        <w:numPr>
          <w:ilvl w:val="0"/>
          <w:numId w:val="3"/>
        </w:numPr>
        <w:spacing w:beforeLines="100" w:before="240" w:afterLines="100" w:after="240"/>
        <w:rPr>
          <w:rFonts w:hAnsi="黑体"/>
          <w:szCs w:val="21"/>
        </w:rPr>
      </w:pPr>
      <w:r>
        <w:rPr>
          <w:rFonts w:hAnsi="黑体" w:hint="eastAsia"/>
          <w:szCs w:val="21"/>
        </w:rPr>
        <w:t>取样</w:t>
      </w:r>
    </w:p>
    <w:p w:rsidR="00DA5E6D" w:rsidRPr="00DB04F7" w:rsidRDefault="008E040F" w:rsidP="00DB04F7">
      <w:pPr>
        <w:pStyle w:val="af5"/>
      </w:pPr>
      <w:r>
        <w:rPr>
          <w:rFonts w:hint="eastAsia"/>
        </w:rPr>
        <w:t>取</w:t>
      </w:r>
      <w:r>
        <w:t>样</w:t>
      </w:r>
      <w:r>
        <w:rPr>
          <w:rFonts w:hint="eastAsia"/>
        </w:rPr>
        <w:t>应按照</w:t>
      </w:r>
      <w:r>
        <w:t>GB/T</w:t>
      </w:r>
      <w:r>
        <w:rPr>
          <w:rFonts w:hint="eastAsia"/>
        </w:rPr>
        <w:t xml:space="preserve"> 3723和</w:t>
      </w:r>
      <w:r>
        <w:t>GB/T</w:t>
      </w:r>
      <w:r>
        <w:rPr>
          <w:rFonts w:hint="eastAsia"/>
        </w:rPr>
        <w:t xml:space="preserve"> </w:t>
      </w:r>
      <w:r>
        <w:t>6678、GB/T</w:t>
      </w:r>
      <w:r>
        <w:rPr>
          <w:rFonts w:hint="eastAsia"/>
        </w:rPr>
        <w:t xml:space="preserve"> </w:t>
      </w:r>
      <w:r>
        <w:t>6680的规定</w:t>
      </w:r>
      <w:r>
        <w:rPr>
          <w:rFonts w:hint="eastAsia"/>
        </w:rPr>
        <w:t>进行，取样量应满足检验、留样需要。</w:t>
      </w:r>
    </w:p>
    <w:bookmarkEnd w:id="1"/>
    <w:p w:rsidR="00DA5E6D" w:rsidRDefault="008E040F" w:rsidP="00DB04F7">
      <w:pPr>
        <w:pStyle w:val="af6"/>
        <w:numPr>
          <w:ilvl w:val="0"/>
          <w:numId w:val="3"/>
        </w:numPr>
        <w:spacing w:beforeLines="100" w:before="240" w:afterLines="100" w:after="240"/>
        <w:rPr>
          <w:rFonts w:hAnsi="黑体"/>
          <w:szCs w:val="21"/>
        </w:rPr>
      </w:pPr>
      <w:r>
        <w:rPr>
          <w:rFonts w:hAnsi="黑体"/>
          <w:szCs w:val="21"/>
        </w:rPr>
        <w:t>检验规则</w:t>
      </w:r>
    </w:p>
    <w:p w:rsidR="00DA5E6D" w:rsidRDefault="008E040F" w:rsidP="00DB04F7">
      <w:pPr>
        <w:pStyle w:val="af6"/>
        <w:numPr>
          <w:ilvl w:val="1"/>
          <w:numId w:val="3"/>
        </w:numPr>
        <w:spacing w:before="120" w:after="120"/>
        <w:rPr>
          <w:rFonts w:hAnsi="黑体"/>
          <w:szCs w:val="21"/>
        </w:rPr>
      </w:pPr>
      <w:r>
        <w:rPr>
          <w:rFonts w:hAnsi="黑体"/>
          <w:szCs w:val="21"/>
        </w:rPr>
        <w:t>检验</w:t>
      </w:r>
      <w:r>
        <w:rPr>
          <w:rFonts w:hAnsi="黑体" w:hint="eastAsia"/>
          <w:szCs w:val="21"/>
        </w:rPr>
        <w:t>分类</w:t>
      </w:r>
    </w:p>
    <w:p w:rsidR="00DA5E6D" w:rsidRDefault="008E040F" w:rsidP="00DB04F7">
      <w:pPr>
        <w:pStyle w:val="af6"/>
        <w:numPr>
          <w:ilvl w:val="255"/>
          <w:numId w:val="0"/>
        </w:numPr>
        <w:spacing w:beforeLines="0" w:afterLines="0"/>
        <w:ind w:firstLine="420"/>
        <w:rPr>
          <w:rFonts w:ascii="宋体" w:eastAsia="宋体"/>
        </w:rPr>
      </w:pPr>
      <w:r w:rsidRPr="00DB04F7">
        <w:rPr>
          <w:rFonts w:ascii="宋体" w:eastAsia="宋体" w:hint="eastAsia"/>
        </w:rPr>
        <w:t>表1中</w:t>
      </w:r>
      <w:r w:rsidR="00DB04F7">
        <w:rPr>
          <w:rFonts w:ascii="宋体" w:eastAsia="宋体" w:hint="eastAsia"/>
        </w:rPr>
        <w:t>除环氧乙烷、总醛、色度以外</w:t>
      </w:r>
      <w:r w:rsidRPr="00DB04F7">
        <w:rPr>
          <w:rFonts w:ascii="宋体" w:eastAsia="宋体" w:hint="eastAsia"/>
        </w:rPr>
        <w:t>的</w:t>
      </w:r>
      <w:r w:rsidR="00DB04F7">
        <w:rPr>
          <w:rFonts w:ascii="宋体" w:eastAsia="宋体" w:hint="eastAsia"/>
        </w:rPr>
        <w:t>所有项目均为型式检验</w:t>
      </w:r>
      <w:r w:rsidRPr="00DB04F7">
        <w:rPr>
          <w:rFonts w:ascii="宋体" w:eastAsia="宋体" w:hint="eastAsia"/>
        </w:rPr>
        <w:t>项目</w:t>
      </w:r>
      <w:r w:rsidR="00DB04F7">
        <w:rPr>
          <w:rFonts w:ascii="宋体" w:eastAsia="宋体" w:hint="eastAsia"/>
        </w:rPr>
        <w:t>。当遇到下列情况之一时，应进行型式检验：</w:t>
      </w:r>
    </w:p>
    <w:p w:rsidR="00DB04F7" w:rsidRDefault="00DB04F7" w:rsidP="00DB04F7">
      <w:pPr>
        <w:pStyle w:val="af5"/>
        <w:numPr>
          <w:ilvl w:val="0"/>
          <w:numId w:val="4"/>
        </w:numPr>
      </w:pPr>
      <w:r>
        <w:t>正常生产时，每月至少进行一次</w:t>
      </w:r>
      <w:r>
        <w:rPr>
          <w:rFonts w:hint="eastAsia"/>
        </w:rPr>
        <w:t>型式检验；</w:t>
      </w:r>
    </w:p>
    <w:p w:rsidR="00DB04F7" w:rsidRDefault="00DB04F7" w:rsidP="00DB04F7">
      <w:pPr>
        <w:pStyle w:val="af5"/>
        <w:numPr>
          <w:ilvl w:val="0"/>
          <w:numId w:val="4"/>
        </w:numPr>
      </w:pPr>
      <w:r>
        <w:t>关键生产工艺发生变化或主要设备更新时；</w:t>
      </w:r>
    </w:p>
    <w:p w:rsidR="00DB04F7" w:rsidRDefault="00DB04F7" w:rsidP="00DB04F7">
      <w:pPr>
        <w:pStyle w:val="af5"/>
        <w:numPr>
          <w:ilvl w:val="0"/>
          <w:numId w:val="4"/>
        </w:numPr>
      </w:pPr>
      <w:r>
        <w:t>主要原料有变化时；</w:t>
      </w:r>
    </w:p>
    <w:p w:rsidR="00DB04F7" w:rsidRDefault="00DB04F7" w:rsidP="00DB04F7">
      <w:pPr>
        <w:pStyle w:val="af5"/>
        <w:numPr>
          <w:ilvl w:val="0"/>
          <w:numId w:val="4"/>
        </w:numPr>
      </w:pPr>
      <w:r>
        <w:t>产品长期停产后，恢复生产时；</w:t>
      </w:r>
    </w:p>
    <w:p w:rsidR="00DB04F7" w:rsidRPr="00DB04F7" w:rsidRDefault="00DB04F7" w:rsidP="00DB04F7">
      <w:pPr>
        <w:pStyle w:val="af5"/>
        <w:numPr>
          <w:ilvl w:val="0"/>
          <w:numId w:val="4"/>
        </w:numPr>
      </w:pPr>
      <w:r>
        <w:t>出厂检验结果与上次</w:t>
      </w:r>
      <w:r>
        <w:rPr>
          <w:rFonts w:hint="eastAsia"/>
        </w:rPr>
        <w:t>型式检验结果有较大差异时。</w:t>
      </w:r>
    </w:p>
    <w:p w:rsidR="00DA5E6D" w:rsidRDefault="008E040F" w:rsidP="00DB04F7">
      <w:pPr>
        <w:pStyle w:val="af6"/>
        <w:numPr>
          <w:ilvl w:val="1"/>
          <w:numId w:val="3"/>
        </w:numPr>
        <w:spacing w:before="120" w:after="120"/>
        <w:rPr>
          <w:rFonts w:hAnsi="黑体"/>
          <w:szCs w:val="21"/>
        </w:rPr>
      </w:pPr>
      <w:proofErr w:type="gramStart"/>
      <w:r>
        <w:rPr>
          <w:rFonts w:hAnsi="黑体" w:hint="eastAsia"/>
          <w:szCs w:val="21"/>
        </w:rPr>
        <w:t>组批规则</w:t>
      </w:r>
      <w:proofErr w:type="gramEnd"/>
    </w:p>
    <w:p w:rsidR="00DA5E6D" w:rsidRPr="00DB04F7" w:rsidRDefault="008E040F" w:rsidP="00DB04F7">
      <w:pPr>
        <w:pStyle w:val="af6"/>
        <w:numPr>
          <w:ilvl w:val="255"/>
          <w:numId w:val="0"/>
        </w:numPr>
        <w:spacing w:beforeLines="0" w:afterLines="0"/>
        <w:rPr>
          <w:rFonts w:ascii="宋体" w:eastAsia="宋体"/>
        </w:rPr>
      </w:pPr>
      <w:r>
        <w:rPr>
          <w:rFonts w:hAnsi="黑体" w:hint="eastAsia"/>
          <w:szCs w:val="21"/>
        </w:rPr>
        <w:t xml:space="preserve">    </w:t>
      </w:r>
      <w:r w:rsidRPr="00DB04F7">
        <w:rPr>
          <w:rFonts w:ascii="宋体" w:eastAsia="宋体" w:hint="eastAsia"/>
        </w:rPr>
        <w:t>同等质量的产品为一批，可按产品贮罐组批，或按生产周期进行组批，每批不超过600t。</w:t>
      </w:r>
    </w:p>
    <w:p w:rsidR="00DA5E6D" w:rsidRDefault="008E040F" w:rsidP="00DB04F7">
      <w:pPr>
        <w:pStyle w:val="af6"/>
        <w:numPr>
          <w:ilvl w:val="1"/>
          <w:numId w:val="3"/>
        </w:numPr>
        <w:spacing w:before="120" w:after="120"/>
        <w:rPr>
          <w:rFonts w:hAnsi="黑体"/>
          <w:szCs w:val="21"/>
        </w:rPr>
      </w:pPr>
      <w:r>
        <w:rPr>
          <w:rFonts w:hAnsi="黑体" w:hint="eastAsia"/>
          <w:szCs w:val="21"/>
        </w:rPr>
        <w:t>判定规则</w:t>
      </w:r>
    </w:p>
    <w:p w:rsidR="00DA5E6D" w:rsidRPr="00DB04F7" w:rsidRDefault="008E040F" w:rsidP="00DB04F7">
      <w:pPr>
        <w:pStyle w:val="af6"/>
        <w:numPr>
          <w:ilvl w:val="255"/>
          <w:numId w:val="0"/>
        </w:numPr>
        <w:spacing w:beforeLines="0" w:afterLines="0"/>
        <w:rPr>
          <w:rFonts w:ascii="宋体" w:eastAsia="宋体"/>
        </w:rPr>
      </w:pPr>
      <w:r>
        <w:rPr>
          <w:rFonts w:hAnsi="黑体" w:hint="eastAsia"/>
          <w:szCs w:val="21"/>
        </w:rPr>
        <w:t xml:space="preserve">    </w:t>
      </w:r>
      <w:r w:rsidRPr="00DB04F7">
        <w:rPr>
          <w:rFonts w:ascii="宋体" w:eastAsia="宋体" w:hint="eastAsia"/>
        </w:rPr>
        <w:t>检验结果的判定</w:t>
      </w:r>
      <w:r>
        <w:rPr>
          <w:rFonts w:ascii="宋体" w:eastAsia="宋体" w:hint="eastAsia"/>
        </w:rPr>
        <w:t>采用</w:t>
      </w:r>
      <w:r w:rsidRPr="00DB04F7">
        <w:rPr>
          <w:rFonts w:ascii="宋体" w:eastAsia="宋体"/>
        </w:rPr>
        <w:t>GB/T 8170中规定的修约值比较法进行</w:t>
      </w:r>
      <w:r>
        <w:rPr>
          <w:rFonts w:ascii="宋体" w:eastAsia="宋体" w:hint="eastAsia"/>
        </w:rPr>
        <w:t>。检验结果全部符合表</w:t>
      </w:r>
      <w:r>
        <w:rPr>
          <w:rFonts w:ascii="宋体" w:eastAsia="宋体"/>
        </w:rPr>
        <w:t>1</w:t>
      </w:r>
      <w:r>
        <w:rPr>
          <w:rFonts w:ascii="宋体" w:eastAsia="宋体" w:hint="eastAsia"/>
        </w:rPr>
        <w:t>的技术要求时，则判定该批产品合格。</w:t>
      </w:r>
    </w:p>
    <w:p w:rsidR="00DA5E6D" w:rsidRDefault="008E040F" w:rsidP="00DB04F7">
      <w:pPr>
        <w:pStyle w:val="af6"/>
        <w:numPr>
          <w:ilvl w:val="1"/>
          <w:numId w:val="3"/>
        </w:numPr>
        <w:spacing w:before="120" w:after="120"/>
        <w:rPr>
          <w:rFonts w:hAnsi="黑体"/>
          <w:szCs w:val="21"/>
        </w:rPr>
      </w:pPr>
      <w:r>
        <w:rPr>
          <w:rFonts w:hAnsi="黑体" w:hint="eastAsia"/>
          <w:szCs w:val="21"/>
        </w:rPr>
        <w:t>复检规则</w:t>
      </w:r>
    </w:p>
    <w:p w:rsidR="00DA5E6D" w:rsidRDefault="008E040F" w:rsidP="00DB04F7">
      <w:pPr>
        <w:pStyle w:val="af6"/>
        <w:numPr>
          <w:ilvl w:val="255"/>
          <w:numId w:val="0"/>
        </w:numPr>
        <w:spacing w:beforeLines="0" w:afterLines="0"/>
        <w:ind w:firstLine="420"/>
        <w:rPr>
          <w:rFonts w:ascii="宋体" w:eastAsia="宋体"/>
        </w:rPr>
      </w:pPr>
      <w:r w:rsidRPr="00DB04F7">
        <w:rPr>
          <w:rFonts w:ascii="宋体" w:eastAsia="宋体" w:hint="eastAsia"/>
        </w:rPr>
        <w:t>如检验结果不符合表</w:t>
      </w:r>
      <w:r w:rsidRPr="00DB04F7">
        <w:rPr>
          <w:rFonts w:ascii="宋体" w:eastAsia="宋体"/>
        </w:rPr>
        <w:t>1</w:t>
      </w:r>
      <w:r w:rsidRPr="00DB04F7">
        <w:rPr>
          <w:rFonts w:ascii="宋体" w:eastAsia="宋体" w:hint="eastAsia"/>
        </w:rPr>
        <w:t>要求时，</w:t>
      </w:r>
      <w:r>
        <w:rPr>
          <w:rFonts w:ascii="宋体" w:eastAsia="宋体" w:hint="eastAsia"/>
        </w:rPr>
        <w:t>应</w:t>
      </w:r>
      <w:r w:rsidRPr="00DB04F7">
        <w:rPr>
          <w:rFonts w:ascii="宋体" w:eastAsia="宋体" w:hint="eastAsia"/>
        </w:rPr>
        <w:t>按照GB/T</w:t>
      </w:r>
      <w:r w:rsidRPr="00DB04F7">
        <w:rPr>
          <w:rFonts w:ascii="宋体" w:eastAsia="宋体"/>
        </w:rPr>
        <w:t xml:space="preserve"> </w:t>
      </w:r>
      <w:r w:rsidRPr="00DB04F7">
        <w:rPr>
          <w:rFonts w:ascii="宋体" w:eastAsia="宋体" w:hint="eastAsia"/>
        </w:rPr>
        <w:t>3723和GB/T</w:t>
      </w:r>
      <w:r w:rsidRPr="00DB04F7">
        <w:rPr>
          <w:rFonts w:ascii="宋体" w:eastAsia="宋体"/>
        </w:rPr>
        <w:t xml:space="preserve"> </w:t>
      </w:r>
      <w:r w:rsidRPr="00DB04F7">
        <w:rPr>
          <w:rFonts w:ascii="宋体" w:eastAsia="宋体" w:hint="eastAsia"/>
        </w:rPr>
        <w:t>6678、GB/T</w:t>
      </w:r>
      <w:r w:rsidRPr="00DB04F7">
        <w:rPr>
          <w:rFonts w:ascii="宋体" w:eastAsia="宋体"/>
        </w:rPr>
        <w:t xml:space="preserve"> 6680</w:t>
      </w:r>
      <w:r w:rsidRPr="00DB04F7">
        <w:rPr>
          <w:rFonts w:ascii="宋体" w:eastAsia="宋体" w:hint="eastAsia"/>
        </w:rPr>
        <w:t>重新加倍取样，复检。如复检结果仍不符合表</w:t>
      </w:r>
      <w:r w:rsidRPr="00DB04F7">
        <w:rPr>
          <w:rFonts w:ascii="宋体" w:eastAsia="宋体"/>
        </w:rPr>
        <w:t>1</w:t>
      </w:r>
      <w:r w:rsidRPr="00DB04F7">
        <w:rPr>
          <w:rFonts w:ascii="宋体" w:eastAsia="宋体" w:hint="eastAsia"/>
        </w:rPr>
        <w:t>要求，则该批产品判为不合格。</w:t>
      </w:r>
    </w:p>
    <w:p w:rsidR="00DA5E6D" w:rsidRDefault="008E040F" w:rsidP="00DB04F7">
      <w:pPr>
        <w:pStyle w:val="af6"/>
        <w:numPr>
          <w:ilvl w:val="0"/>
          <w:numId w:val="3"/>
        </w:numPr>
        <w:spacing w:beforeLines="100" w:before="240" w:afterLines="100" w:after="240"/>
        <w:rPr>
          <w:rFonts w:hAnsi="黑体"/>
          <w:szCs w:val="21"/>
        </w:rPr>
      </w:pPr>
      <w:r>
        <w:rPr>
          <w:rFonts w:hAnsi="黑体" w:hint="eastAsia"/>
          <w:szCs w:val="21"/>
        </w:rPr>
        <w:t>标志、标签和随行文件</w:t>
      </w:r>
    </w:p>
    <w:p w:rsidR="00DA5E6D" w:rsidRDefault="008E040F" w:rsidP="00DB04F7">
      <w:pPr>
        <w:pStyle w:val="af6"/>
        <w:numPr>
          <w:ilvl w:val="255"/>
          <w:numId w:val="0"/>
        </w:numPr>
        <w:spacing w:before="120" w:after="120"/>
        <w:rPr>
          <w:rFonts w:hAnsi="黑体"/>
          <w:szCs w:val="21"/>
        </w:rPr>
      </w:pPr>
      <w:r>
        <w:rPr>
          <w:rFonts w:hAnsi="黑体" w:hint="eastAsia"/>
          <w:szCs w:val="21"/>
        </w:rPr>
        <w:t xml:space="preserve">8.1  </w:t>
      </w:r>
      <w:r>
        <w:rPr>
          <w:rFonts w:hAnsi="黑体"/>
          <w:szCs w:val="21"/>
        </w:rPr>
        <w:t>标志、标签</w:t>
      </w:r>
    </w:p>
    <w:p w:rsidR="00DA5E6D" w:rsidRDefault="008E040F" w:rsidP="00DB04F7">
      <w:pPr>
        <w:pStyle w:val="af6"/>
        <w:numPr>
          <w:ilvl w:val="255"/>
          <w:numId w:val="0"/>
        </w:numPr>
        <w:spacing w:beforeLines="0" w:afterLines="0"/>
        <w:rPr>
          <w:rFonts w:eastAsia="宋体" w:hAnsi="黑体"/>
          <w:szCs w:val="21"/>
        </w:rPr>
      </w:pPr>
      <w:r>
        <w:rPr>
          <w:rFonts w:hAnsi="黑体" w:hint="eastAsia"/>
          <w:szCs w:val="21"/>
        </w:rPr>
        <w:t xml:space="preserve">   </w:t>
      </w:r>
      <w:r w:rsidRPr="00DB04F7">
        <w:rPr>
          <w:rFonts w:ascii="宋体" w:eastAsia="宋体" w:hint="eastAsia"/>
        </w:rPr>
        <w:t>工业用低醛环氧乙烷属于</w:t>
      </w:r>
      <w:r>
        <w:rPr>
          <w:rFonts w:ascii="宋体" w:eastAsia="宋体" w:hint="eastAsia"/>
        </w:rPr>
        <w:t>第1类</w:t>
      </w:r>
      <w:r w:rsidRPr="00DB04F7">
        <w:rPr>
          <w:rFonts w:ascii="宋体" w:eastAsia="宋体" w:hint="eastAsia"/>
        </w:rPr>
        <w:t>易燃液体，相关的安全提示性信息见附录A，其中危险性标志和标签的规定见</w:t>
      </w:r>
      <w:r w:rsidRPr="00DB04F7">
        <w:rPr>
          <w:rFonts w:ascii="宋体" w:eastAsia="宋体"/>
        </w:rPr>
        <w:t>GB 190</w:t>
      </w:r>
      <w:r w:rsidRPr="00DB04F7">
        <w:rPr>
          <w:rFonts w:ascii="宋体" w:eastAsia="宋体" w:hint="eastAsia"/>
        </w:rPr>
        <w:t>、</w:t>
      </w:r>
      <w:r w:rsidRPr="00DB04F7">
        <w:rPr>
          <w:rFonts w:ascii="宋体" w:eastAsia="宋体"/>
        </w:rPr>
        <w:t>GB13690</w:t>
      </w:r>
      <w:r w:rsidRPr="00DB04F7">
        <w:rPr>
          <w:rFonts w:ascii="宋体" w:eastAsia="宋体" w:hint="eastAsia"/>
        </w:rPr>
        <w:t>和</w:t>
      </w:r>
      <w:r w:rsidRPr="00DB04F7">
        <w:rPr>
          <w:rFonts w:ascii="宋体" w:eastAsia="宋体"/>
        </w:rPr>
        <w:t>GB 30000.7</w:t>
      </w:r>
      <w:r>
        <w:rPr>
          <w:rFonts w:ascii="宋体" w:eastAsia="宋体" w:hint="eastAsia"/>
        </w:rPr>
        <w:t>。</w:t>
      </w:r>
    </w:p>
    <w:p w:rsidR="00DA5E6D" w:rsidRDefault="008E040F" w:rsidP="00DB04F7">
      <w:pPr>
        <w:pStyle w:val="af6"/>
        <w:numPr>
          <w:ilvl w:val="255"/>
          <w:numId w:val="0"/>
        </w:numPr>
        <w:spacing w:before="120" w:after="120"/>
        <w:rPr>
          <w:rFonts w:hAnsi="黑体"/>
          <w:szCs w:val="21"/>
        </w:rPr>
      </w:pPr>
      <w:r>
        <w:rPr>
          <w:rFonts w:hAnsi="黑体" w:hint="eastAsia"/>
          <w:szCs w:val="21"/>
        </w:rPr>
        <w:t xml:space="preserve">8.2  </w:t>
      </w:r>
      <w:r>
        <w:rPr>
          <w:rFonts w:hAnsi="黑体"/>
          <w:szCs w:val="21"/>
        </w:rPr>
        <w:t>随行文件</w:t>
      </w:r>
    </w:p>
    <w:p w:rsidR="00DA5E6D" w:rsidRDefault="008E040F" w:rsidP="00DB04F7">
      <w:pPr>
        <w:pStyle w:val="af6"/>
        <w:numPr>
          <w:ilvl w:val="255"/>
          <w:numId w:val="0"/>
        </w:numPr>
        <w:spacing w:beforeLines="0" w:afterLines="0"/>
        <w:ind w:firstLine="420"/>
        <w:rPr>
          <w:rFonts w:hAnsi="黑体"/>
          <w:szCs w:val="21"/>
        </w:rPr>
      </w:pPr>
      <w:r w:rsidRPr="00DB04F7">
        <w:rPr>
          <w:rFonts w:ascii="宋体" w:eastAsia="宋体" w:hint="eastAsia"/>
        </w:rPr>
        <w:t>每批出厂产品都应附有质量证明书</w:t>
      </w:r>
      <w:r>
        <w:rPr>
          <w:rFonts w:ascii="宋体" w:eastAsia="宋体" w:hint="eastAsia"/>
        </w:rPr>
        <w:t>。质量证明书上应注明</w:t>
      </w:r>
      <w:r w:rsidRPr="00DB04F7">
        <w:rPr>
          <w:rFonts w:ascii="宋体" w:eastAsia="宋体" w:hint="eastAsia"/>
        </w:rPr>
        <w:t>生产</w:t>
      </w:r>
      <w:r>
        <w:rPr>
          <w:rFonts w:ascii="宋体" w:eastAsia="宋体" w:hint="eastAsia"/>
        </w:rPr>
        <w:t>企业</w:t>
      </w:r>
      <w:r w:rsidRPr="00DB04F7">
        <w:rPr>
          <w:rFonts w:ascii="宋体" w:eastAsia="宋体" w:hint="eastAsia"/>
        </w:rPr>
        <w:t>名称、产品名称、生产日期或批号、</w:t>
      </w:r>
      <w:r>
        <w:rPr>
          <w:rFonts w:ascii="宋体" w:eastAsia="宋体" w:hint="eastAsia"/>
        </w:rPr>
        <w:t>本文件</w:t>
      </w:r>
      <w:r w:rsidRPr="00DB04F7">
        <w:rPr>
          <w:rFonts w:ascii="宋体" w:eastAsia="宋体" w:hint="eastAsia"/>
        </w:rPr>
        <w:t>编号等。</w:t>
      </w:r>
    </w:p>
    <w:p w:rsidR="00DA5E6D" w:rsidRDefault="008E040F" w:rsidP="00DB04F7">
      <w:pPr>
        <w:pStyle w:val="af6"/>
        <w:numPr>
          <w:ilvl w:val="0"/>
          <w:numId w:val="3"/>
        </w:numPr>
        <w:spacing w:beforeLines="100" w:before="240" w:afterLines="100" w:after="240"/>
        <w:rPr>
          <w:rFonts w:hAnsi="黑体"/>
          <w:szCs w:val="21"/>
        </w:rPr>
      </w:pPr>
      <w:r>
        <w:rPr>
          <w:rFonts w:hAnsi="黑体"/>
          <w:szCs w:val="21"/>
        </w:rPr>
        <w:t>包装、运输和贮存</w:t>
      </w:r>
    </w:p>
    <w:p w:rsidR="00DA5E6D" w:rsidRDefault="008E040F" w:rsidP="00DB04F7">
      <w:pPr>
        <w:pStyle w:val="af7"/>
        <w:numPr>
          <w:ilvl w:val="1"/>
          <w:numId w:val="3"/>
        </w:numPr>
        <w:spacing w:before="120" w:after="120"/>
      </w:pPr>
      <w:r>
        <w:rPr>
          <w:rFonts w:hint="eastAsia"/>
        </w:rPr>
        <w:t>包装</w:t>
      </w:r>
    </w:p>
    <w:p w:rsidR="00DA5E6D" w:rsidRPr="00DB04F7" w:rsidRDefault="008E040F" w:rsidP="00DB04F7">
      <w:pPr>
        <w:pStyle w:val="a3"/>
        <w:numPr>
          <w:ilvl w:val="0"/>
          <w:numId w:val="0"/>
        </w:numPr>
        <w:rPr>
          <w:szCs w:val="21"/>
        </w:rPr>
      </w:pPr>
      <w:r>
        <w:rPr>
          <w:rFonts w:hAnsi="宋体" w:cs="宋体"/>
          <w:sz w:val="24"/>
          <w:szCs w:val="24"/>
          <w:lang w:bidi="ar"/>
        </w:rPr>
        <w:t xml:space="preserve">　　</w:t>
      </w:r>
      <w:r w:rsidRPr="00DB04F7">
        <w:rPr>
          <w:rFonts w:hint="eastAsia"/>
          <w:szCs w:val="21"/>
        </w:rPr>
        <w:t>工业用低醛环氧乙烷应采用不锈钢钢瓶包装，或采用罐体材料为不锈钢的罐车灌装，钢瓶、罐车的检查、充装、使用、管理等事项应按《特种设备安全监察条例》、《移动式压力容器安全技术监察规程》和《气瓶安全监察规程》的规定执行。钢瓶和罐车的充装量不得大于0.79</w:t>
      </w:r>
      <w:r w:rsidRPr="00DB04F7">
        <w:rPr>
          <w:szCs w:val="21"/>
        </w:rPr>
        <w:t xml:space="preserve"> </w:t>
      </w:r>
      <w:r w:rsidRPr="00DB04F7">
        <w:rPr>
          <w:rFonts w:hint="eastAsia"/>
          <w:szCs w:val="21"/>
        </w:rPr>
        <w:t>kg/L。</w:t>
      </w:r>
    </w:p>
    <w:p w:rsidR="00DA5E6D" w:rsidRPr="00DB04F7" w:rsidRDefault="008E040F" w:rsidP="00DB04F7">
      <w:pPr>
        <w:pStyle w:val="a3"/>
        <w:numPr>
          <w:ilvl w:val="0"/>
          <w:numId w:val="0"/>
        </w:numPr>
        <w:rPr>
          <w:szCs w:val="21"/>
        </w:rPr>
      </w:pPr>
      <w:r w:rsidRPr="00DB04F7">
        <w:rPr>
          <w:rFonts w:hint="eastAsia"/>
          <w:szCs w:val="21"/>
        </w:rPr>
        <w:t xml:space="preserve">　　工业用低醛环氧乙烷也可用经国家有关部门认可能确保安全的其他容器包装、灌装，并按该容器的有关安全监察、管理规定执行。</w:t>
      </w:r>
    </w:p>
    <w:p w:rsidR="00DA5E6D" w:rsidRPr="00DB04F7" w:rsidRDefault="008E040F" w:rsidP="00DB04F7">
      <w:pPr>
        <w:widowControl/>
        <w:rPr>
          <w:rFonts w:hAnsi="Times New Roman" w:cs="Times New Roman"/>
          <w:sz w:val="21"/>
          <w:szCs w:val="21"/>
          <w:lang w:eastAsia="zh-CN"/>
        </w:rPr>
      </w:pPr>
      <w:r w:rsidRPr="00DB04F7">
        <w:rPr>
          <w:sz w:val="21"/>
          <w:szCs w:val="21"/>
          <w:lang w:eastAsia="zh-CN" w:bidi="ar"/>
        </w:rPr>
        <w:t xml:space="preserve">　　</w:t>
      </w:r>
      <w:r w:rsidRPr="00DB04F7">
        <w:rPr>
          <w:rFonts w:hAnsi="Times New Roman" w:cs="Times New Roman" w:hint="eastAsia"/>
          <w:sz w:val="21"/>
          <w:szCs w:val="21"/>
          <w:lang w:eastAsia="zh-CN"/>
        </w:rPr>
        <w:t>工业用</w:t>
      </w:r>
      <w:r>
        <w:rPr>
          <w:rFonts w:hint="eastAsia"/>
          <w:szCs w:val="21"/>
          <w:lang w:eastAsia="zh-CN"/>
        </w:rPr>
        <w:t>低醛</w:t>
      </w:r>
      <w:r w:rsidRPr="00DB04F7">
        <w:rPr>
          <w:rFonts w:hAnsi="Times New Roman" w:cs="Times New Roman" w:hint="eastAsia"/>
          <w:sz w:val="21"/>
          <w:szCs w:val="21"/>
          <w:lang w:eastAsia="zh-CN"/>
        </w:rPr>
        <w:t>环氧乙烷包装容器上应有牢固的标志，标明产品名称、生产厂名称和厂址、商标、生产日期或批号、质量等级、净质量、生产许可证号和本标准编号等。产品包装容器上还</w:t>
      </w:r>
      <w:proofErr w:type="gramStart"/>
      <w:r w:rsidRPr="00DB04F7">
        <w:rPr>
          <w:rFonts w:hAnsi="Times New Roman" w:cs="Times New Roman" w:hint="eastAsia"/>
          <w:sz w:val="21"/>
          <w:szCs w:val="21"/>
          <w:lang w:eastAsia="zh-CN"/>
        </w:rPr>
        <w:t>应显著</w:t>
      </w:r>
      <w:proofErr w:type="gramEnd"/>
      <w:r w:rsidRPr="00DB04F7">
        <w:rPr>
          <w:rFonts w:hAnsi="Times New Roman" w:cs="Times New Roman" w:hint="eastAsia"/>
          <w:sz w:val="21"/>
          <w:szCs w:val="21"/>
          <w:lang w:eastAsia="zh-CN"/>
        </w:rPr>
        <w:t>地标明GB</w:t>
      </w:r>
      <w:r w:rsidRPr="00DB04F7">
        <w:rPr>
          <w:rFonts w:hAnsi="Times New Roman" w:cs="Times New Roman"/>
          <w:sz w:val="21"/>
          <w:szCs w:val="21"/>
          <w:lang w:eastAsia="zh-CN"/>
        </w:rPr>
        <w:t xml:space="preserve"> </w:t>
      </w:r>
      <w:r w:rsidRPr="00DB04F7">
        <w:rPr>
          <w:rFonts w:hAnsi="Times New Roman" w:cs="Times New Roman" w:hint="eastAsia"/>
          <w:sz w:val="21"/>
          <w:szCs w:val="21"/>
          <w:lang w:eastAsia="zh-CN"/>
        </w:rPr>
        <w:t>190规定的“易燃液体”、“爆炸品”及“有毒品”标志。</w:t>
      </w:r>
    </w:p>
    <w:p w:rsidR="00DA5E6D" w:rsidRDefault="008E040F" w:rsidP="00DB04F7">
      <w:pPr>
        <w:pStyle w:val="af7"/>
        <w:numPr>
          <w:ilvl w:val="1"/>
          <w:numId w:val="3"/>
        </w:numPr>
        <w:spacing w:before="120" w:after="120"/>
      </w:pPr>
      <w:r>
        <w:rPr>
          <w:rFonts w:hint="eastAsia"/>
        </w:rPr>
        <w:t>运输</w:t>
      </w:r>
    </w:p>
    <w:p w:rsidR="00DA5E6D" w:rsidRDefault="008E040F">
      <w:pPr>
        <w:pStyle w:val="af5"/>
      </w:pPr>
      <w:r>
        <w:t>灌装有工业用</w:t>
      </w:r>
      <w:r>
        <w:rPr>
          <w:rFonts w:hint="eastAsia"/>
          <w:szCs w:val="21"/>
        </w:rPr>
        <w:t>低醛</w:t>
      </w:r>
      <w:r>
        <w:t>环氧乙烷的罐车应在氮气密封下运输，氮气的体积分数不低于99.9%，密封</w:t>
      </w:r>
      <w:r>
        <w:lastRenderedPageBreak/>
        <w:t xml:space="preserve">氮气中氧的体积分数不得大于0.5%，密封氮气压力0.28 MPa~0.35 </w:t>
      </w:r>
      <w:proofErr w:type="spellStart"/>
      <w:r>
        <w:t>MPa</w:t>
      </w:r>
      <w:proofErr w:type="spellEnd"/>
      <w:r>
        <w:t>。此外，还应执行《</w:t>
      </w:r>
      <w:r>
        <w:rPr>
          <w:rFonts w:hint="eastAsia"/>
        </w:rPr>
        <w:t>移动式</w:t>
      </w:r>
      <w:r>
        <w:t>压力容器安全技术监察规程》、《液化气体汽车罐车安全监察规程》等有关规定。</w:t>
      </w:r>
    </w:p>
    <w:p w:rsidR="00DA5E6D" w:rsidRDefault="008E040F">
      <w:pPr>
        <w:pStyle w:val="af7"/>
        <w:numPr>
          <w:ilvl w:val="1"/>
          <w:numId w:val="3"/>
        </w:numPr>
        <w:spacing w:before="120" w:after="120" w:line="360" w:lineRule="exact"/>
      </w:pPr>
      <w:r>
        <w:rPr>
          <w:rFonts w:hint="eastAsia"/>
        </w:rPr>
        <w:t>贮存</w:t>
      </w:r>
    </w:p>
    <w:p w:rsidR="00DA5E6D" w:rsidRDefault="008E040F" w:rsidP="00DB04F7">
      <w:pPr>
        <w:widowControl/>
        <w:rPr>
          <w:rFonts w:hAnsi="Times New Roman" w:cs="Times New Roman"/>
          <w:sz w:val="21"/>
          <w:szCs w:val="20"/>
          <w:lang w:eastAsia="zh-CN"/>
        </w:rPr>
      </w:pPr>
      <w:r>
        <w:rPr>
          <w:rFonts w:hAnsi="Times New Roman" w:cs="Times New Roman" w:hint="eastAsia"/>
          <w:sz w:val="21"/>
          <w:szCs w:val="20"/>
          <w:lang w:eastAsia="zh-CN"/>
        </w:rPr>
        <w:t xml:space="preserve">    </w:t>
      </w:r>
      <w:r>
        <w:rPr>
          <w:rFonts w:hAnsi="Times New Roman" w:cs="Times New Roman"/>
          <w:sz w:val="21"/>
          <w:szCs w:val="20"/>
          <w:lang w:eastAsia="zh-CN"/>
        </w:rPr>
        <w:t>工业用</w:t>
      </w:r>
      <w:r>
        <w:rPr>
          <w:rFonts w:hint="eastAsia"/>
          <w:szCs w:val="21"/>
          <w:lang w:eastAsia="zh-CN"/>
        </w:rPr>
        <w:t>低醛</w:t>
      </w:r>
      <w:r>
        <w:rPr>
          <w:rFonts w:hAnsi="Times New Roman" w:cs="Times New Roman"/>
          <w:sz w:val="21"/>
          <w:szCs w:val="20"/>
          <w:lang w:eastAsia="zh-CN"/>
        </w:rPr>
        <w:t>环氧乙烷储罐罐体材料应优先采用不锈钢。贮存有工业用环氧乙烷的储罐应采用氮气密封，氮气的体积分数不低于99.9%，氮气密封中氧的体积分数不得大于0.5%，氮气密封压力0.07 MPa</w:t>
      </w:r>
      <w:r>
        <w:rPr>
          <w:rFonts w:ascii="Times New Roman" w:hAnsi="Times New Roman" w:cs="Times New Roman"/>
          <w:sz w:val="21"/>
          <w:szCs w:val="20"/>
          <w:lang w:eastAsia="zh-CN"/>
        </w:rPr>
        <w:t>~</w:t>
      </w:r>
      <w:r>
        <w:rPr>
          <w:rFonts w:hAnsi="Times New Roman" w:cs="Times New Roman"/>
          <w:sz w:val="21"/>
          <w:szCs w:val="20"/>
          <w:lang w:eastAsia="zh-CN"/>
        </w:rPr>
        <w:t xml:space="preserve">0.35 </w:t>
      </w:r>
      <w:proofErr w:type="spellStart"/>
      <w:r>
        <w:rPr>
          <w:rFonts w:hAnsi="Times New Roman" w:cs="Times New Roman"/>
          <w:sz w:val="21"/>
          <w:szCs w:val="20"/>
          <w:lang w:eastAsia="zh-CN"/>
        </w:rPr>
        <w:t>MPa</w:t>
      </w:r>
      <w:proofErr w:type="spellEnd"/>
      <w:r>
        <w:rPr>
          <w:rFonts w:hAnsi="Times New Roman" w:cs="Times New Roman"/>
          <w:sz w:val="21"/>
          <w:szCs w:val="20"/>
          <w:lang w:eastAsia="zh-CN"/>
        </w:rPr>
        <w:t>,贮存温度不高于10</w:t>
      </w:r>
      <w:r>
        <w:rPr>
          <w:rFonts w:hAnsi="Times New Roman" w:cs="Times New Roman"/>
          <w:sz w:val="21"/>
          <w:szCs w:val="20"/>
          <w:lang w:eastAsia="zh-CN"/>
        </w:rPr>
        <w:t>℃</w:t>
      </w:r>
      <w:r>
        <w:rPr>
          <w:rFonts w:hAnsi="Times New Roman" w:cs="Times New Roman"/>
          <w:sz w:val="21"/>
          <w:szCs w:val="20"/>
          <w:lang w:eastAsia="zh-CN"/>
        </w:rPr>
        <w:t>。</w:t>
      </w:r>
    </w:p>
    <w:p w:rsidR="00DA5E6D" w:rsidRDefault="00DA5E6D">
      <w:pPr>
        <w:widowControl/>
        <w:spacing w:line="360" w:lineRule="auto"/>
        <w:rPr>
          <w:rFonts w:hAnsi="Times New Roman" w:cs="Times New Roman"/>
          <w:sz w:val="21"/>
          <w:szCs w:val="20"/>
          <w:lang w:eastAsia="zh-CN"/>
        </w:rPr>
      </w:pPr>
    </w:p>
    <w:p w:rsidR="00DA5E6D" w:rsidRDefault="00DA5E6D">
      <w:pPr>
        <w:widowControl/>
        <w:autoSpaceDE/>
        <w:autoSpaceDN/>
        <w:rPr>
          <w:rFonts w:ascii="黑体" w:eastAsia="黑体" w:hAnsi="黑体"/>
          <w:sz w:val="21"/>
          <w:szCs w:val="21"/>
          <w:lang w:eastAsia="zh-CN"/>
        </w:rPr>
      </w:pPr>
    </w:p>
    <w:p w:rsidR="00DA5E6D" w:rsidRDefault="00DA5E6D">
      <w:pPr>
        <w:pStyle w:val="af5"/>
        <w:spacing w:beforeLines="50" w:before="120" w:line="360" w:lineRule="auto"/>
        <w:ind w:firstLine="360"/>
        <w:jc w:val="left"/>
        <w:rPr>
          <w:rFonts w:hAnsi="宋体" w:cs="宋体"/>
          <w:color w:val="FF0000"/>
          <w:sz w:val="18"/>
          <w:szCs w:val="18"/>
        </w:rPr>
      </w:pPr>
    </w:p>
    <w:p w:rsidR="00DA5E6D" w:rsidRDefault="00DA5E6D">
      <w:pPr>
        <w:pStyle w:val="af5"/>
        <w:spacing w:beforeLines="50" w:before="120" w:line="360" w:lineRule="auto"/>
        <w:ind w:firstLine="360"/>
        <w:jc w:val="left"/>
        <w:rPr>
          <w:rFonts w:hAnsi="宋体" w:cs="宋体"/>
          <w:color w:val="FF0000"/>
          <w:sz w:val="18"/>
          <w:szCs w:val="18"/>
        </w:rPr>
      </w:pPr>
    </w:p>
    <w:p w:rsidR="00DA5E6D" w:rsidRDefault="00DA5E6D">
      <w:pPr>
        <w:pStyle w:val="af5"/>
        <w:spacing w:beforeLines="50" w:before="120" w:line="360" w:lineRule="auto"/>
        <w:ind w:firstLine="360"/>
        <w:jc w:val="left"/>
        <w:rPr>
          <w:rFonts w:hAnsi="宋体" w:cs="宋体"/>
          <w:color w:val="FF0000"/>
          <w:sz w:val="18"/>
          <w:szCs w:val="18"/>
        </w:rPr>
      </w:pPr>
    </w:p>
    <w:p w:rsidR="00DA5E6D" w:rsidRDefault="00DA5E6D" w:rsidP="00DB04F7">
      <w:pPr>
        <w:pStyle w:val="af5"/>
        <w:spacing w:beforeLines="50" w:before="120" w:line="360" w:lineRule="auto"/>
        <w:ind w:firstLine="0"/>
        <w:jc w:val="left"/>
        <w:rPr>
          <w:rFonts w:hAnsi="宋体" w:cs="宋体"/>
          <w:color w:val="FF0000"/>
          <w:sz w:val="18"/>
          <w:szCs w:val="18"/>
        </w:rPr>
      </w:pPr>
    </w:p>
    <w:p w:rsidR="00DA5E6D" w:rsidRDefault="00DA5E6D" w:rsidP="00DB04F7">
      <w:pPr>
        <w:pStyle w:val="af5"/>
        <w:spacing w:beforeLines="50" w:before="120" w:line="360" w:lineRule="auto"/>
        <w:ind w:firstLine="0"/>
        <w:jc w:val="left"/>
        <w:rPr>
          <w:rFonts w:hAnsi="宋体" w:cs="宋体"/>
          <w:color w:val="FF0000"/>
          <w:sz w:val="18"/>
          <w:szCs w:val="18"/>
        </w:rPr>
      </w:pPr>
    </w:p>
    <w:p w:rsidR="00DA5E6D" w:rsidRDefault="00DA5E6D" w:rsidP="00DB04F7">
      <w:pPr>
        <w:pStyle w:val="af5"/>
        <w:spacing w:beforeLines="50" w:before="120" w:line="360" w:lineRule="auto"/>
        <w:ind w:firstLine="0"/>
        <w:jc w:val="left"/>
        <w:rPr>
          <w:rFonts w:hAnsi="宋体" w:cs="宋体"/>
          <w:color w:val="FF0000"/>
          <w:sz w:val="18"/>
          <w:szCs w:val="18"/>
        </w:rPr>
      </w:pPr>
    </w:p>
    <w:p w:rsidR="00DA5E6D" w:rsidRDefault="00DA5E6D" w:rsidP="00DB04F7">
      <w:pPr>
        <w:pStyle w:val="af5"/>
        <w:spacing w:beforeLines="50" w:before="120" w:line="360" w:lineRule="auto"/>
        <w:ind w:firstLine="0"/>
        <w:jc w:val="left"/>
        <w:rPr>
          <w:rFonts w:hAnsi="宋体" w:cs="宋体"/>
          <w:color w:val="FF0000"/>
          <w:sz w:val="18"/>
          <w:szCs w:val="18"/>
        </w:rPr>
      </w:pPr>
    </w:p>
    <w:p w:rsidR="00DA5E6D" w:rsidRDefault="00DA5E6D" w:rsidP="00DB04F7">
      <w:pPr>
        <w:pStyle w:val="af5"/>
        <w:spacing w:beforeLines="50" w:before="120" w:line="360" w:lineRule="auto"/>
        <w:ind w:firstLine="0"/>
        <w:jc w:val="left"/>
        <w:rPr>
          <w:rFonts w:hAnsi="宋体" w:cs="宋体"/>
          <w:color w:val="FF0000"/>
          <w:sz w:val="18"/>
          <w:szCs w:val="18"/>
        </w:rPr>
      </w:pPr>
    </w:p>
    <w:p w:rsidR="00DA5E6D" w:rsidRDefault="00DA5E6D" w:rsidP="00DB04F7">
      <w:pPr>
        <w:pStyle w:val="af5"/>
        <w:spacing w:beforeLines="50" w:before="120" w:line="360" w:lineRule="auto"/>
        <w:ind w:firstLine="0"/>
        <w:jc w:val="left"/>
        <w:rPr>
          <w:rFonts w:hAnsi="宋体" w:cs="宋体"/>
          <w:color w:val="FF0000"/>
          <w:sz w:val="18"/>
          <w:szCs w:val="18"/>
        </w:rPr>
      </w:pPr>
    </w:p>
    <w:p w:rsidR="00DA5E6D" w:rsidRDefault="00DA5E6D" w:rsidP="00DB04F7">
      <w:pPr>
        <w:pStyle w:val="af5"/>
        <w:spacing w:beforeLines="50" w:before="120" w:line="360" w:lineRule="auto"/>
        <w:ind w:firstLine="0"/>
        <w:jc w:val="left"/>
        <w:rPr>
          <w:rFonts w:hAnsi="宋体" w:cs="宋体"/>
          <w:color w:val="FF0000"/>
          <w:sz w:val="18"/>
          <w:szCs w:val="18"/>
        </w:rPr>
      </w:pPr>
    </w:p>
    <w:p w:rsidR="00DA5E6D" w:rsidRDefault="00DA5E6D" w:rsidP="00DB04F7">
      <w:pPr>
        <w:pStyle w:val="af5"/>
        <w:spacing w:beforeLines="50" w:before="120" w:line="360" w:lineRule="auto"/>
        <w:ind w:firstLine="0"/>
        <w:jc w:val="left"/>
        <w:rPr>
          <w:rFonts w:hAnsi="宋体" w:cs="宋体"/>
          <w:color w:val="FF0000"/>
          <w:sz w:val="18"/>
          <w:szCs w:val="18"/>
        </w:rPr>
      </w:pPr>
    </w:p>
    <w:p w:rsidR="00DA5E6D" w:rsidRDefault="00DA5E6D" w:rsidP="00DB04F7">
      <w:pPr>
        <w:pStyle w:val="af5"/>
        <w:spacing w:beforeLines="50" w:before="120" w:line="360" w:lineRule="auto"/>
        <w:ind w:firstLine="0"/>
        <w:jc w:val="left"/>
        <w:rPr>
          <w:rFonts w:hAnsi="宋体" w:cs="宋体"/>
          <w:color w:val="FF0000"/>
          <w:sz w:val="18"/>
          <w:szCs w:val="18"/>
        </w:rPr>
      </w:pPr>
    </w:p>
    <w:p w:rsidR="00DA5E6D" w:rsidRDefault="00DA5E6D" w:rsidP="00DB04F7">
      <w:pPr>
        <w:pStyle w:val="af5"/>
        <w:spacing w:beforeLines="50" w:before="120" w:line="360" w:lineRule="auto"/>
        <w:ind w:firstLine="0"/>
        <w:jc w:val="left"/>
        <w:rPr>
          <w:rFonts w:hAnsi="宋体" w:cs="宋体"/>
          <w:color w:val="FF0000"/>
          <w:sz w:val="18"/>
          <w:szCs w:val="18"/>
        </w:rPr>
      </w:pPr>
    </w:p>
    <w:p w:rsidR="00DA5E6D" w:rsidRDefault="00DA5E6D" w:rsidP="00DB04F7">
      <w:pPr>
        <w:pStyle w:val="af5"/>
        <w:spacing w:beforeLines="50" w:before="120" w:line="360" w:lineRule="auto"/>
        <w:ind w:firstLine="0"/>
        <w:jc w:val="left"/>
        <w:rPr>
          <w:rFonts w:hAnsi="宋体" w:cs="宋体"/>
          <w:color w:val="FF0000"/>
          <w:sz w:val="18"/>
          <w:szCs w:val="18"/>
        </w:rPr>
      </w:pPr>
    </w:p>
    <w:p w:rsidR="00DA5E6D" w:rsidRDefault="00DA5E6D" w:rsidP="00DB04F7">
      <w:pPr>
        <w:pStyle w:val="af5"/>
        <w:spacing w:beforeLines="50" w:before="120" w:line="360" w:lineRule="auto"/>
        <w:ind w:firstLine="0"/>
        <w:jc w:val="left"/>
        <w:rPr>
          <w:rFonts w:hAnsi="宋体" w:cs="宋体"/>
          <w:color w:val="FF0000"/>
          <w:sz w:val="18"/>
          <w:szCs w:val="18"/>
        </w:rPr>
      </w:pPr>
    </w:p>
    <w:p w:rsidR="00DA5E6D" w:rsidRDefault="00DA5E6D" w:rsidP="00DB04F7">
      <w:pPr>
        <w:pStyle w:val="af5"/>
        <w:spacing w:beforeLines="50" w:before="120" w:line="360" w:lineRule="auto"/>
        <w:ind w:firstLine="0"/>
        <w:jc w:val="left"/>
        <w:rPr>
          <w:rFonts w:hAnsi="宋体" w:cs="宋体"/>
          <w:color w:val="FF0000"/>
          <w:sz w:val="18"/>
          <w:szCs w:val="18"/>
        </w:rPr>
      </w:pPr>
    </w:p>
    <w:p w:rsidR="00DA5E6D" w:rsidRDefault="00DA5E6D" w:rsidP="00DB04F7">
      <w:pPr>
        <w:pStyle w:val="af5"/>
        <w:spacing w:beforeLines="50" w:before="120" w:line="360" w:lineRule="auto"/>
        <w:ind w:firstLine="0"/>
        <w:jc w:val="left"/>
        <w:rPr>
          <w:rFonts w:hAnsi="宋体" w:cs="宋体"/>
          <w:color w:val="FF0000"/>
          <w:sz w:val="18"/>
          <w:szCs w:val="18"/>
        </w:rPr>
      </w:pPr>
    </w:p>
    <w:p w:rsidR="00DA5E6D" w:rsidRDefault="00DA5E6D" w:rsidP="00DB04F7">
      <w:pPr>
        <w:pStyle w:val="af5"/>
        <w:spacing w:beforeLines="50" w:before="120" w:line="360" w:lineRule="auto"/>
        <w:ind w:firstLine="0"/>
        <w:jc w:val="left"/>
        <w:rPr>
          <w:rFonts w:hAnsi="宋体" w:cs="宋体"/>
          <w:color w:val="FF0000"/>
          <w:sz w:val="18"/>
          <w:szCs w:val="18"/>
        </w:rPr>
      </w:pPr>
    </w:p>
    <w:p w:rsidR="00DA5E6D" w:rsidRDefault="00DA5E6D" w:rsidP="00DB04F7">
      <w:pPr>
        <w:pStyle w:val="af5"/>
        <w:spacing w:beforeLines="50" w:before="120" w:line="360" w:lineRule="auto"/>
        <w:ind w:firstLine="0"/>
        <w:jc w:val="left"/>
        <w:rPr>
          <w:rFonts w:hAnsi="宋体" w:cs="宋体"/>
          <w:color w:val="FF0000"/>
          <w:sz w:val="18"/>
          <w:szCs w:val="18"/>
        </w:rPr>
      </w:pPr>
    </w:p>
    <w:p w:rsidR="00DA5E6D" w:rsidRDefault="00DA5E6D" w:rsidP="00DB04F7">
      <w:pPr>
        <w:pStyle w:val="af5"/>
        <w:spacing w:beforeLines="50" w:before="120" w:line="360" w:lineRule="auto"/>
        <w:ind w:firstLine="0"/>
        <w:jc w:val="left"/>
        <w:rPr>
          <w:rFonts w:hAnsi="宋体" w:cs="宋体"/>
          <w:color w:val="FF0000"/>
          <w:sz w:val="18"/>
          <w:szCs w:val="18"/>
        </w:rPr>
      </w:pPr>
    </w:p>
    <w:p w:rsidR="00DA5E6D" w:rsidRDefault="00DA5E6D" w:rsidP="00DB04F7">
      <w:pPr>
        <w:pStyle w:val="af5"/>
        <w:spacing w:beforeLines="50" w:before="120" w:line="360" w:lineRule="auto"/>
        <w:ind w:firstLine="0"/>
        <w:jc w:val="left"/>
        <w:rPr>
          <w:rFonts w:hAnsi="宋体" w:cs="宋体"/>
          <w:color w:val="FF0000"/>
          <w:sz w:val="18"/>
          <w:szCs w:val="18"/>
        </w:rPr>
      </w:pPr>
    </w:p>
    <w:p w:rsidR="00DB04F7" w:rsidRDefault="00DB04F7" w:rsidP="00DB04F7">
      <w:pPr>
        <w:pStyle w:val="af5"/>
        <w:spacing w:beforeLines="50" w:before="120" w:line="360" w:lineRule="auto"/>
        <w:ind w:firstLine="0"/>
        <w:jc w:val="left"/>
        <w:rPr>
          <w:rFonts w:hAnsi="宋体" w:cs="宋体"/>
          <w:color w:val="FF0000"/>
          <w:sz w:val="18"/>
          <w:szCs w:val="18"/>
        </w:rPr>
      </w:pPr>
    </w:p>
    <w:p w:rsidR="00DB04F7" w:rsidRDefault="00DB04F7" w:rsidP="00DB04F7">
      <w:pPr>
        <w:pStyle w:val="af5"/>
        <w:spacing w:beforeLines="50" w:before="120" w:line="360" w:lineRule="auto"/>
        <w:ind w:firstLine="0"/>
        <w:jc w:val="left"/>
        <w:rPr>
          <w:rFonts w:hAnsi="宋体" w:cs="宋体"/>
          <w:color w:val="FF0000"/>
          <w:sz w:val="18"/>
          <w:szCs w:val="18"/>
        </w:rPr>
      </w:pPr>
    </w:p>
    <w:p w:rsidR="00DB04F7" w:rsidRDefault="00DB04F7" w:rsidP="00DB04F7">
      <w:pPr>
        <w:pStyle w:val="af5"/>
        <w:spacing w:beforeLines="50" w:before="120" w:line="360" w:lineRule="auto"/>
        <w:ind w:firstLine="0"/>
        <w:jc w:val="left"/>
        <w:rPr>
          <w:rFonts w:hAnsi="宋体" w:cs="宋体"/>
          <w:color w:val="FF0000"/>
          <w:sz w:val="18"/>
          <w:szCs w:val="18"/>
        </w:rPr>
      </w:pPr>
    </w:p>
    <w:p w:rsidR="00DA5E6D" w:rsidRDefault="008E040F" w:rsidP="00DB04F7">
      <w:pPr>
        <w:pStyle w:val="af7"/>
        <w:spacing w:beforeLines="100" w:before="240" w:afterLines="100" w:after="240"/>
        <w:jc w:val="center"/>
      </w:pPr>
      <w:r w:rsidRPr="00DB04F7">
        <w:lastRenderedPageBreak/>
        <w:t>附录A</w:t>
      </w:r>
    </w:p>
    <w:p w:rsidR="00DA5E6D" w:rsidRDefault="008E040F" w:rsidP="00DB04F7">
      <w:pPr>
        <w:pStyle w:val="af5"/>
        <w:spacing w:beforeLines="100" w:before="240" w:afterLines="100" w:after="240"/>
        <w:rPr>
          <w:szCs w:val="21"/>
        </w:rPr>
      </w:pPr>
      <w:r>
        <w:rPr>
          <w:rFonts w:hint="eastAsia"/>
          <w:szCs w:val="21"/>
        </w:rPr>
        <w:t xml:space="preserve">                                  </w:t>
      </w:r>
      <w:r>
        <w:rPr>
          <w:rFonts w:ascii="黑体" w:eastAsia="黑体"/>
          <w:kern w:val="0"/>
          <w:szCs w:val="21"/>
        </w:rPr>
        <w:t xml:space="preserve">  (</w:t>
      </w:r>
      <w:r>
        <w:rPr>
          <w:rFonts w:ascii="黑体" w:eastAsia="黑体" w:hint="eastAsia"/>
          <w:kern w:val="0"/>
          <w:szCs w:val="21"/>
        </w:rPr>
        <w:t>资料性</w:t>
      </w:r>
      <w:r>
        <w:rPr>
          <w:rFonts w:ascii="黑体" w:eastAsia="黑体"/>
          <w:kern w:val="0"/>
          <w:szCs w:val="21"/>
        </w:rPr>
        <w:t>)</w:t>
      </w:r>
    </w:p>
    <w:p w:rsidR="00DA5E6D" w:rsidRPr="00DB04F7" w:rsidRDefault="008E040F" w:rsidP="00DB04F7">
      <w:pPr>
        <w:pStyle w:val="af5"/>
        <w:spacing w:beforeLines="100" w:before="240" w:afterLines="100" w:after="240"/>
        <w:rPr>
          <w:szCs w:val="21"/>
          <w:highlight w:val="green"/>
        </w:rPr>
      </w:pPr>
      <w:r>
        <w:rPr>
          <w:rFonts w:ascii="黑体" w:eastAsia="黑体" w:hint="eastAsia"/>
          <w:kern w:val="0"/>
          <w:szCs w:val="21"/>
        </w:rPr>
        <w:t xml:space="preserve">                                      安全</w:t>
      </w:r>
    </w:p>
    <w:p w:rsidR="00DA5E6D" w:rsidRPr="00DB04F7" w:rsidRDefault="008E040F" w:rsidP="00DB04F7">
      <w:pPr>
        <w:widowControl/>
        <w:adjustRightInd w:val="0"/>
        <w:snapToGrid w:val="0"/>
        <w:rPr>
          <w:sz w:val="21"/>
          <w:szCs w:val="21"/>
          <w:lang w:eastAsia="zh-CN"/>
        </w:rPr>
      </w:pPr>
      <w:r w:rsidRPr="00DB04F7">
        <w:rPr>
          <w:sz w:val="21"/>
          <w:szCs w:val="21"/>
          <w:lang w:eastAsia="zh-CN"/>
        </w:rPr>
        <w:t xml:space="preserve">A.1  </w:t>
      </w:r>
      <w:r w:rsidRPr="00DB04F7">
        <w:rPr>
          <w:rFonts w:hint="eastAsia"/>
          <w:sz w:val="21"/>
          <w:szCs w:val="21"/>
          <w:lang w:eastAsia="zh-CN"/>
        </w:rPr>
        <w:t>环氧乙烷为易燃、易爆的有毒液体，沸点10.7℃，闪点-17.8℃，自燃点429℃，爆炸极限的体积分数为3%~100%。温度高于40℃时环氧乙烷开始聚合。环氧乙烷与催化剂(如氯化铝、铁的氧化物、氧化铝、金属钾、酸、碱)接触时能分解或聚合，放出大量热量，严重时能导致爆炸。</w:t>
      </w:r>
    </w:p>
    <w:p w:rsidR="00DA5E6D" w:rsidRPr="00DB04F7" w:rsidRDefault="008E040F" w:rsidP="00DB04F7">
      <w:pPr>
        <w:widowControl/>
        <w:adjustRightInd w:val="0"/>
        <w:snapToGrid w:val="0"/>
        <w:rPr>
          <w:sz w:val="21"/>
          <w:szCs w:val="21"/>
          <w:lang w:eastAsia="zh-CN"/>
        </w:rPr>
      </w:pPr>
      <w:r w:rsidRPr="00DB04F7">
        <w:rPr>
          <w:sz w:val="21"/>
          <w:szCs w:val="21"/>
          <w:lang w:eastAsia="zh-CN"/>
        </w:rPr>
        <w:t xml:space="preserve">A.2  </w:t>
      </w:r>
      <w:r w:rsidRPr="00DB04F7">
        <w:rPr>
          <w:rFonts w:hint="eastAsia"/>
          <w:sz w:val="21"/>
          <w:szCs w:val="21"/>
          <w:lang w:eastAsia="zh-CN"/>
        </w:rPr>
        <w:t>环氧乙烷为强麻醉剂，能引起急性中毒和慢性中毒。短时间吸入低浓度环氧乙烷</w:t>
      </w:r>
      <w:proofErr w:type="gramStart"/>
      <w:r w:rsidRPr="00DB04F7">
        <w:rPr>
          <w:rFonts w:hint="eastAsia"/>
          <w:sz w:val="21"/>
          <w:szCs w:val="21"/>
          <w:lang w:eastAsia="zh-CN"/>
        </w:rPr>
        <w:t>蒸气</w:t>
      </w:r>
      <w:proofErr w:type="gramEnd"/>
      <w:r w:rsidRPr="00DB04F7">
        <w:rPr>
          <w:rFonts w:hint="eastAsia"/>
          <w:sz w:val="21"/>
          <w:szCs w:val="21"/>
          <w:lang w:eastAsia="zh-CN"/>
        </w:rPr>
        <w:t>会刺激眼鼻，引起肺部充血，短时间接触高浓度环氧乙烷</w:t>
      </w:r>
      <w:proofErr w:type="gramStart"/>
      <w:r w:rsidRPr="00DB04F7">
        <w:rPr>
          <w:rFonts w:hint="eastAsia"/>
          <w:sz w:val="21"/>
          <w:szCs w:val="21"/>
          <w:lang w:eastAsia="zh-CN"/>
        </w:rPr>
        <w:t>蒸气</w:t>
      </w:r>
      <w:proofErr w:type="gramEnd"/>
      <w:r w:rsidRPr="00DB04F7">
        <w:rPr>
          <w:rFonts w:hint="eastAsia"/>
          <w:sz w:val="21"/>
          <w:szCs w:val="21"/>
          <w:lang w:eastAsia="zh-CN"/>
        </w:rPr>
        <w:t>会引起头疼、恶心、呕吐和呼吸困难。液态环氧乙烷接触皮肤会引起皮肤冻伤。</w:t>
      </w:r>
    </w:p>
    <w:p w:rsidR="00DA5E6D" w:rsidRDefault="00DA5E6D">
      <w:pPr>
        <w:pStyle w:val="af5"/>
        <w:spacing w:beforeLines="50" w:before="120" w:line="360" w:lineRule="auto"/>
        <w:ind w:firstLine="360"/>
        <w:jc w:val="left"/>
        <w:rPr>
          <w:rFonts w:hAnsi="宋体" w:cs="宋体"/>
          <w:color w:val="FF0000"/>
          <w:sz w:val="18"/>
          <w:szCs w:val="18"/>
        </w:rPr>
      </w:pPr>
    </w:p>
    <w:sectPr w:rsidR="00DA5E6D">
      <w:footerReference w:type="default" r:id="rId11"/>
      <w:pgSz w:w="11910" w:h="16840"/>
      <w:pgMar w:top="1420" w:right="1400" w:bottom="280" w:left="136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E53" w:rsidRDefault="00B07E53">
      <w:r>
        <w:separator/>
      </w:r>
    </w:p>
  </w:endnote>
  <w:endnote w:type="continuationSeparator" w:id="0">
    <w:p w:rsidR="00B07E53" w:rsidRDefault="00B07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E6D" w:rsidRDefault="008E040F">
    <w:pPr>
      <w:pStyle w:val="af8"/>
    </w:pPr>
    <w:r>
      <w:fldChar w:fldCharType="begin"/>
    </w:r>
    <w:r>
      <w:instrText xml:space="preserve"> PAGE  \* MERGEFORMAT </w:instrText>
    </w:r>
    <w:r>
      <w:fldChar w:fldCharType="separate"/>
    </w:r>
    <w:r w:rsidR="00E92E43">
      <w:rPr>
        <w:noProof/>
      </w:rP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E6D" w:rsidRDefault="008E040F">
    <w:pPr>
      <w:pStyle w:val="af8"/>
    </w:pPr>
    <w:r>
      <w:fldChar w:fldCharType="begin"/>
    </w:r>
    <w:r>
      <w:instrText xml:space="preserve"> PAGE  \* MERGEFORMAT </w:instrText>
    </w:r>
    <w:r>
      <w:fldChar w:fldCharType="separate"/>
    </w:r>
    <w:r w:rsidR="00E92E43">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E53" w:rsidRDefault="00B07E53">
      <w:r>
        <w:separator/>
      </w:r>
    </w:p>
  </w:footnote>
  <w:footnote w:type="continuationSeparator" w:id="0">
    <w:p w:rsidR="00B07E53" w:rsidRDefault="00B07E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E6D" w:rsidRDefault="008E040F">
    <w:pPr>
      <w:pStyle w:val="af9"/>
    </w:pPr>
    <w:r>
      <w:t>T</w:t>
    </w:r>
    <w:r>
      <w:rPr>
        <w:rFonts w:hint="eastAsia"/>
      </w:rPr>
      <w:t>/NPCA</w:t>
    </w:r>
    <w:r>
      <w:t xml:space="preserve"> </w:t>
    </w:r>
    <w:r>
      <w:rPr>
        <w:rFonts w:hint="eastAsia"/>
      </w:rPr>
      <w:t>****</w:t>
    </w:r>
    <w:r>
      <w:t>—</w:t>
    </w:r>
    <w:r>
      <w:t>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F91651"/>
    <w:multiLevelType w:val="hybridMultilevel"/>
    <w:tmpl w:val="5D96AEB6"/>
    <w:lvl w:ilvl="0" w:tplc="32F42E44">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FC91163"/>
    <w:multiLevelType w:val="multilevel"/>
    <w:tmpl w:val="1FC91163"/>
    <w:lvl w:ilvl="0">
      <w:start w:val="1"/>
      <w:numFmt w:val="decimal"/>
      <w:suff w:val="nothing"/>
      <w:lvlText w:val="%1　"/>
      <w:lvlJc w:val="left"/>
      <w:rPr>
        <w:rFonts w:ascii="黑体" w:eastAsia="黑体" w:hAnsi="Times New Roman" w:cs="Times New Roman" w:hint="eastAsia"/>
        <w:b w:val="0"/>
        <w:i w:val="0"/>
        <w:sz w:val="21"/>
        <w:szCs w:val="21"/>
      </w:rPr>
    </w:lvl>
    <w:lvl w:ilvl="1">
      <w:start w:val="1"/>
      <w:numFmt w:val="decimal"/>
      <w:suff w:val="nothing"/>
      <w:lvlText w:val="%1.%2　"/>
      <w:lvlJc w:val="left"/>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2">
    <w:nsid w:val="44C50F90"/>
    <w:multiLevelType w:val="multilevel"/>
    <w:tmpl w:val="44C50F90"/>
    <w:lvl w:ilvl="0">
      <w:start w:val="1"/>
      <w:numFmt w:val="lowerLetter"/>
      <w:pStyle w:val="a"/>
      <w:lvlText w:val="%1)"/>
      <w:lvlJc w:val="left"/>
      <w:pPr>
        <w:tabs>
          <w:tab w:val="left" w:pos="851"/>
        </w:tabs>
        <w:ind w:left="851" w:hanging="426"/>
      </w:pPr>
      <w:rPr>
        <w:rFonts w:ascii="宋体" w:eastAsia="宋体" w:hAnsi="Times New Roman" w:hint="eastAsia"/>
        <w:sz w:val="21"/>
      </w:rPr>
    </w:lvl>
    <w:lvl w:ilvl="1">
      <w:start w:val="1"/>
      <w:numFmt w:val="decimal"/>
      <w:pStyle w:val="a0"/>
      <w:lvlText w:val="%2)"/>
      <w:lvlJc w:val="left"/>
      <w:pPr>
        <w:tabs>
          <w:tab w:val="left" w:pos="1276"/>
        </w:tabs>
        <w:ind w:left="1276" w:hanging="425"/>
      </w:pPr>
      <w:rPr>
        <w:rFonts w:ascii="宋体" w:eastAsia="宋体" w:hAnsi="Times New Roman" w:hint="eastAsia"/>
        <w:sz w:val="21"/>
      </w:rPr>
    </w:lvl>
    <w:lvl w:ilvl="2">
      <w:start w:val="1"/>
      <w:numFmt w:val="decimal"/>
      <w:pStyle w:val="a1"/>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3">
    <w:nsid w:val="7B774FC7"/>
    <w:multiLevelType w:val="multilevel"/>
    <w:tmpl w:val="7B774FC7"/>
    <w:lvl w:ilvl="0">
      <w:start w:val="1"/>
      <w:numFmt w:val="upperLetter"/>
      <w:lvlText w:val="%1"/>
      <w:lvlJc w:val="left"/>
      <w:pPr>
        <w:ind w:left="440" w:hanging="425"/>
      </w:pPr>
      <w:rPr>
        <w:rFonts w:ascii="Times New Roman" w:eastAsia="黑体" w:hAnsi="Times New Roman" w:hint="default"/>
        <w:color w:val="auto"/>
      </w:rPr>
    </w:lvl>
    <w:lvl w:ilvl="1">
      <w:start w:val="1"/>
      <w:numFmt w:val="decimal"/>
      <w:pStyle w:val="a2"/>
      <w:lvlText w:val="%1.%2"/>
      <w:lvlJc w:val="left"/>
      <w:pPr>
        <w:ind w:left="552" w:hanging="567"/>
      </w:pPr>
      <w:rPr>
        <w:rFonts w:hint="eastAsia"/>
      </w:rPr>
    </w:lvl>
    <w:lvl w:ilvl="2">
      <w:start w:val="1"/>
      <w:numFmt w:val="decimal"/>
      <w:lvlText w:val="%1.%2.%3"/>
      <w:lvlJc w:val="left"/>
      <w:pPr>
        <w:ind w:left="538" w:hanging="567"/>
      </w:pPr>
      <w:rPr>
        <w:rFonts w:hint="eastAsia"/>
      </w:rPr>
    </w:lvl>
    <w:lvl w:ilvl="3">
      <w:start w:val="1"/>
      <w:numFmt w:val="decimal"/>
      <w:pStyle w:val="a3"/>
      <w:lvlText w:val="%1.%2.%3.%4"/>
      <w:lvlJc w:val="left"/>
      <w:pPr>
        <w:ind w:left="444" w:hanging="708"/>
      </w:pPr>
      <w:rPr>
        <w:rFonts w:eastAsia="黑体" w:hint="eastAsia"/>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946"/>
    <w:rsid w:val="00000E72"/>
    <w:rsid w:val="00001B44"/>
    <w:rsid w:val="00006C0B"/>
    <w:rsid w:val="00011E57"/>
    <w:rsid w:val="0001720C"/>
    <w:rsid w:val="000226AF"/>
    <w:rsid w:val="000247AE"/>
    <w:rsid w:val="00033354"/>
    <w:rsid w:val="00036511"/>
    <w:rsid w:val="00040BC4"/>
    <w:rsid w:val="00041404"/>
    <w:rsid w:val="00043DE7"/>
    <w:rsid w:val="0004788A"/>
    <w:rsid w:val="000513CC"/>
    <w:rsid w:val="00057AB7"/>
    <w:rsid w:val="000612ED"/>
    <w:rsid w:val="00062192"/>
    <w:rsid w:val="00071D2B"/>
    <w:rsid w:val="00072ABA"/>
    <w:rsid w:val="0007374C"/>
    <w:rsid w:val="00082189"/>
    <w:rsid w:val="00083788"/>
    <w:rsid w:val="000847C3"/>
    <w:rsid w:val="000861D2"/>
    <w:rsid w:val="000919EC"/>
    <w:rsid w:val="000A0F99"/>
    <w:rsid w:val="000B5198"/>
    <w:rsid w:val="000B6206"/>
    <w:rsid w:val="000B7A4E"/>
    <w:rsid w:val="000C1282"/>
    <w:rsid w:val="000C42C4"/>
    <w:rsid w:val="000C70B2"/>
    <w:rsid w:val="000D3FE2"/>
    <w:rsid w:val="000E02B1"/>
    <w:rsid w:val="000E310F"/>
    <w:rsid w:val="000E4F4D"/>
    <w:rsid w:val="000E59BE"/>
    <w:rsid w:val="000F0C37"/>
    <w:rsid w:val="000F4AB6"/>
    <w:rsid w:val="0010194C"/>
    <w:rsid w:val="0010258A"/>
    <w:rsid w:val="00103527"/>
    <w:rsid w:val="001144FE"/>
    <w:rsid w:val="00115844"/>
    <w:rsid w:val="0013424A"/>
    <w:rsid w:val="00147740"/>
    <w:rsid w:val="00147FA9"/>
    <w:rsid w:val="00150332"/>
    <w:rsid w:val="001538A2"/>
    <w:rsid w:val="00155E9B"/>
    <w:rsid w:val="00156F82"/>
    <w:rsid w:val="00157D5C"/>
    <w:rsid w:val="001661DD"/>
    <w:rsid w:val="00170DD3"/>
    <w:rsid w:val="0017214B"/>
    <w:rsid w:val="00172461"/>
    <w:rsid w:val="0017604C"/>
    <w:rsid w:val="00177244"/>
    <w:rsid w:val="00191C2D"/>
    <w:rsid w:val="00191FCB"/>
    <w:rsid w:val="001953C8"/>
    <w:rsid w:val="001958D8"/>
    <w:rsid w:val="001A057D"/>
    <w:rsid w:val="001A47A4"/>
    <w:rsid w:val="001A4DB1"/>
    <w:rsid w:val="001A4E99"/>
    <w:rsid w:val="001A677C"/>
    <w:rsid w:val="001A7C7D"/>
    <w:rsid w:val="001B268F"/>
    <w:rsid w:val="001B348D"/>
    <w:rsid w:val="001B53AD"/>
    <w:rsid w:val="001B5F85"/>
    <w:rsid w:val="001C1962"/>
    <w:rsid w:val="001C207A"/>
    <w:rsid w:val="001C25D3"/>
    <w:rsid w:val="001C566F"/>
    <w:rsid w:val="001D66FC"/>
    <w:rsid w:val="001E3801"/>
    <w:rsid w:val="001F4458"/>
    <w:rsid w:val="001F4975"/>
    <w:rsid w:val="00204CB1"/>
    <w:rsid w:val="00210450"/>
    <w:rsid w:val="00214E56"/>
    <w:rsid w:val="0022586C"/>
    <w:rsid w:val="00227446"/>
    <w:rsid w:val="00235975"/>
    <w:rsid w:val="00236075"/>
    <w:rsid w:val="0024142D"/>
    <w:rsid w:val="002437B0"/>
    <w:rsid w:val="00245A12"/>
    <w:rsid w:val="00247709"/>
    <w:rsid w:val="00250D1F"/>
    <w:rsid w:val="00260D5A"/>
    <w:rsid w:val="00262B6D"/>
    <w:rsid w:val="00271F39"/>
    <w:rsid w:val="002768EA"/>
    <w:rsid w:val="00283BCE"/>
    <w:rsid w:val="00292AC6"/>
    <w:rsid w:val="00295539"/>
    <w:rsid w:val="002A0D14"/>
    <w:rsid w:val="002C1310"/>
    <w:rsid w:val="002D30B3"/>
    <w:rsid w:val="002F1473"/>
    <w:rsid w:val="002F2D3B"/>
    <w:rsid w:val="002F740E"/>
    <w:rsid w:val="00300418"/>
    <w:rsid w:val="00302207"/>
    <w:rsid w:val="00313061"/>
    <w:rsid w:val="00315CAC"/>
    <w:rsid w:val="0032400F"/>
    <w:rsid w:val="00336D2C"/>
    <w:rsid w:val="00350B54"/>
    <w:rsid w:val="00353D02"/>
    <w:rsid w:val="00354D48"/>
    <w:rsid w:val="00356EDE"/>
    <w:rsid w:val="003602A6"/>
    <w:rsid w:val="003619C0"/>
    <w:rsid w:val="00362535"/>
    <w:rsid w:val="00365348"/>
    <w:rsid w:val="00372D3F"/>
    <w:rsid w:val="003744BC"/>
    <w:rsid w:val="00374B46"/>
    <w:rsid w:val="00383369"/>
    <w:rsid w:val="00386E65"/>
    <w:rsid w:val="003A1F86"/>
    <w:rsid w:val="003A4077"/>
    <w:rsid w:val="003B7B44"/>
    <w:rsid w:val="003C24CA"/>
    <w:rsid w:val="003C4305"/>
    <w:rsid w:val="003E7DF2"/>
    <w:rsid w:val="003F033A"/>
    <w:rsid w:val="003F6831"/>
    <w:rsid w:val="003F6C26"/>
    <w:rsid w:val="003F7A99"/>
    <w:rsid w:val="004035CB"/>
    <w:rsid w:val="004204F1"/>
    <w:rsid w:val="00425D2F"/>
    <w:rsid w:val="00426FE6"/>
    <w:rsid w:val="00434556"/>
    <w:rsid w:val="004602AE"/>
    <w:rsid w:val="00462EC6"/>
    <w:rsid w:val="00463EA1"/>
    <w:rsid w:val="0047149C"/>
    <w:rsid w:val="004740ED"/>
    <w:rsid w:val="0047560C"/>
    <w:rsid w:val="004760B3"/>
    <w:rsid w:val="00477AD0"/>
    <w:rsid w:val="00482AF3"/>
    <w:rsid w:val="00482C85"/>
    <w:rsid w:val="004838D1"/>
    <w:rsid w:val="00484D43"/>
    <w:rsid w:val="00484D49"/>
    <w:rsid w:val="00485D4B"/>
    <w:rsid w:val="00485F6E"/>
    <w:rsid w:val="0048782C"/>
    <w:rsid w:val="004920C9"/>
    <w:rsid w:val="00493C5F"/>
    <w:rsid w:val="00495AA4"/>
    <w:rsid w:val="00496443"/>
    <w:rsid w:val="004A6F6C"/>
    <w:rsid w:val="004C06EE"/>
    <w:rsid w:val="004C1453"/>
    <w:rsid w:val="004C2803"/>
    <w:rsid w:val="004C5775"/>
    <w:rsid w:val="004C5E6C"/>
    <w:rsid w:val="004C7E60"/>
    <w:rsid w:val="004E326E"/>
    <w:rsid w:val="004E6859"/>
    <w:rsid w:val="004F30F3"/>
    <w:rsid w:val="005021BF"/>
    <w:rsid w:val="00504B6D"/>
    <w:rsid w:val="00510BF8"/>
    <w:rsid w:val="00510CB8"/>
    <w:rsid w:val="005123B7"/>
    <w:rsid w:val="005132E4"/>
    <w:rsid w:val="005135C2"/>
    <w:rsid w:val="0051748B"/>
    <w:rsid w:val="005177D1"/>
    <w:rsid w:val="0052493C"/>
    <w:rsid w:val="005260AC"/>
    <w:rsid w:val="00527B4F"/>
    <w:rsid w:val="00530088"/>
    <w:rsid w:val="00533D82"/>
    <w:rsid w:val="00543A74"/>
    <w:rsid w:val="00556D36"/>
    <w:rsid w:val="00557E58"/>
    <w:rsid w:val="00560C3E"/>
    <w:rsid w:val="005611B7"/>
    <w:rsid w:val="00561404"/>
    <w:rsid w:val="00566717"/>
    <w:rsid w:val="005702C2"/>
    <w:rsid w:val="00572295"/>
    <w:rsid w:val="005725B7"/>
    <w:rsid w:val="00574257"/>
    <w:rsid w:val="005813C4"/>
    <w:rsid w:val="00582D6D"/>
    <w:rsid w:val="005832DC"/>
    <w:rsid w:val="005848CF"/>
    <w:rsid w:val="005861E4"/>
    <w:rsid w:val="005909F3"/>
    <w:rsid w:val="0059453D"/>
    <w:rsid w:val="005A2CA7"/>
    <w:rsid w:val="005B5FDC"/>
    <w:rsid w:val="005B6C97"/>
    <w:rsid w:val="005B7E4A"/>
    <w:rsid w:val="005C72C2"/>
    <w:rsid w:val="005D30C3"/>
    <w:rsid w:val="005E0286"/>
    <w:rsid w:val="005E4E59"/>
    <w:rsid w:val="005E64B1"/>
    <w:rsid w:val="005F74D2"/>
    <w:rsid w:val="00601627"/>
    <w:rsid w:val="006113D1"/>
    <w:rsid w:val="0061150F"/>
    <w:rsid w:val="0061499A"/>
    <w:rsid w:val="0061691F"/>
    <w:rsid w:val="00621C81"/>
    <w:rsid w:val="00622D34"/>
    <w:rsid w:val="00627918"/>
    <w:rsid w:val="00632E4C"/>
    <w:rsid w:val="00634D6F"/>
    <w:rsid w:val="00637D17"/>
    <w:rsid w:val="00643C32"/>
    <w:rsid w:val="00652BB1"/>
    <w:rsid w:val="006530BA"/>
    <w:rsid w:val="00655D57"/>
    <w:rsid w:val="00667EBB"/>
    <w:rsid w:val="006723F9"/>
    <w:rsid w:val="00672AA9"/>
    <w:rsid w:val="0067395F"/>
    <w:rsid w:val="006832C6"/>
    <w:rsid w:val="006845D3"/>
    <w:rsid w:val="00686431"/>
    <w:rsid w:val="006906BE"/>
    <w:rsid w:val="00692AE4"/>
    <w:rsid w:val="00695526"/>
    <w:rsid w:val="00695AD9"/>
    <w:rsid w:val="00697757"/>
    <w:rsid w:val="006A4778"/>
    <w:rsid w:val="006B14C5"/>
    <w:rsid w:val="006C06D0"/>
    <w:rsid w:val="006C106B"/>
    <w:rsid w:val="006C3695"/>
    <w:rsid w:val="006C7CD9"/>
    <w:rsid w:val="006D5DCB"/>
    <w:rsid w:val="006E2520"/>
    <w:rsid w:val="006E68C6"/>
    <w:rsid w:val="006F0913"/>
    <w:rsid w:val="006F42E7"/>
    <w:rsid w:val="006F536A"/>
    <w:rsid w:val="006F59CF"/>
    <w:rsid w:val="006F5D6D"/>
    <w:rsid w:val="006F7777"/>
    <w:rsid w:val="00707558"/>
    <w:rsid w:val="00715CE8"/>
    <w:rsid w:val="007172F7"/>
    <w:rsid w:val="00722940"/>
    <w:rsid w:val="0072355C"/>
    <w:rsid w:val="007323A1"/>
    <w:rsid w:val="00734311"/>
    <w:rsid w:val="007359BA"/>
    <w:rsid w:val="00735AA2"/>
    <w:rsid w:val="007360E5"/>
    <w:rsid w:val="00752933"/>
    <w:rsid w:val="007626A5"/>
    <w:rsid w:val="00764BFA"/>
    <w:rsid w:val="00766E01"/>
    <w:rsid w:val="0077065A"/>
    <w:rsid w:val="00777684"/>
    <w:rsid w:val="00782BDE"/>
    <w:rsid w:val="00791B9A"/>
    <w:rsid w:val="007931C7"/>
    <w:rsid w:val="00793E9D"/>
    <w:rsid w:val="007B0CA5"/>
    <w:rsid w:val="007B2D64"/>
    <w:rsid w:val="007C3482"/>
    <w:rsid w:val="007C5926"/>
    <w:rsid w:val="007D10AF"/>
    <w:rsid w:val="007D75E7"/>
    <w:rsid w:val="007E2CD1"/>
    <w:rsid w:val="007E2D96"/>
    <w:rsid w:val="007F0680"/>
    <w:rsid w:val="007F343D"/>
    <w:rsid w:val="007F4BDD"/>
    <w:rsid w:val="008007A3"/>
    <w:rsid w:val="00800F66"/>
    <w:rsid w:val="0080254B"/>
    <w:rsid w:val="00804153"/>
    <w:rsid w:val="00810479"/>
    <w:rsid w:val="00817ACF"/>
    <w:rsid w:val="00820C53"/>
    <w:rsid w:val="008231C7"/>
    <w:rsid w:val="00824ED8"/>
    <w:rsid w:val="0082553F"/>
    <w:rsid w:val="008341F8"/>
    <w:rsid w:val="00835AA6"/>
    <w:rsid w:val="0084040E"/>
    <w:rsid w:val="00840905"/>
    <w:rsid w:val="00841519"/>
    <w:rsid w:val="008429C6"/>
    <w:rsid w:val="00842BAE"/>
    <w:rsid w:val="008510D0"/>
    <w:rsid w:val="008518E4"/>
    <w:rsid w:val="00876CF9"/>
    <w:rsid w:val="00881F08"/>
    <w:rsid w:val="00882AC0"/>
    <w:rsid w:val="00895246"/>
    <w:rsid w:val="008A3D21"/>
    <w:rsid w:val="008A5A8B"/>
    <w:rsid w:val="008B30DC"/>
    <w:rsid w:val="008B6619"/>
    <w:rsid w:val="008B6C05"/>
    <w:rsid w:val="008C3881"/>
    <w:rsid w:val="008C5BDB"/>
    <w:rsid w:val="008D10B8"/>
    <w:rsid w:val="008E040F"/>
    <w:rsid w:val="008E0A1F"/>
    <w:rsid w:val="008E3BD7"/>
    <w:rsid w:val="008E6476"/>
    <w:rsid w:val="00914394"/>
    <w:rsid w:val="00921BB6"/>
    <w:rsid w:val="0092227B"/>
    <w:rsid w:val="00923BE7"/>
    <w:rsid w:val="00931B72"/>
    <w:rsid w:val="009449BB"/>
    <w:rsid w:val="00946FAE"/>
    <w:rsid w:val="009525F0"/>
    <w:rsid w:val="009547F9"/>
    <w:rsid w:val="00957230"/>
    <w:rsid w:val="00957576"/>
    <w:rsid w:val="009604B8"/>
    <w:rsid w:val="009617A1"/>
    <w:rsid w:val="00963416"/>
    <w:rsid w:val="00972375"/>
    <w:rsid w:val="0097507F"/>
    <w:rsid w:val="00980E70"/>
    <w:rsid w:val="009817BB"/>
    <w:rsid w:val="0098672D"/>
    <w:rsid w:val="0098678E"/>
    <w:rsid w:val="00986998"/>
    <w:rsid w:val="009A3613"/>
    <w:rsid w:val="009A4576"/>
    <w:rsid w:val="009A718F"/>
    <w:rsid w:val="009A79DA"/>
    <w:rsid w:val="009A7C96"/>
    <w:rsid w:val="009B0B5D"/>
    <w:rsid w:val="009B58D8"/>
    <w:rsid w:val="009C2221"/>
    <w:rsid w:val="009C38B3"/>
    <w:rsid w:val="009D14F9"/>
    <w:rsid w:val="009D2719"/>
    <w:rsid w:val="009E1389"/>
    <w:rsid w:val="009E47D9"/>
    <w:rsid w:val="009E4FF5"/>
    <w:rsid w:val="009E5B53"/>
    <w:rsid w:val="009E64C1"/>
    <w:rsid w:val="009F23AD"/>
    <w:rsid w:val="009F38C4"/>
    <w:rsid w:val="00A00946"/>
    <w:rsid w:val="00A0317E"/>
    <w:rsid w:val="00A1459E"/>
    <w:rsid w:val="00A22D0D"/>
    <w:rsid w:val="00A2520C"/>
    <w:rsid w:val="00A253D0"/>
    <w:rsid w:val="00A33E35"/>
    <w:rsid w:val="00A42121"/>
    <w:rsid w:val="00A44799"/>
    <w:rsid w:val="00A44A16"/>
    <w:rsid w:val="00A4500F"/>
    <w:rsid w:val="00A4594E"/>
    <w:rsid w:val="00A46BAF"/>
    <w:rsid w:val="00A50A84"/>
    <w:rsid w:val="00A52E54"/>
    <w:rsid w:val="00A55B34"/>
    <w:rsid w:val="00A6248F"/>
    <w:rsid w:val="00A6763C"/>
    <w:rsid w:val="00A67C91"/>
    <w:rsid w:val="00A70062"/>
    <w:rsid w:val="00A70D6D"/>
    <w:rsid w:val="00A7162D"/>
    <w:rsid w:val="00A81835"/>
    <w:rsid w:val="00A81F56"/>
    <w:rsid w:val="00A85EFB"/>
    <w:rsid w:val="00A93BF5"/>
    <w:rsid w:val="00AA2210"/>
    <w:rsid w:val="00AA737B"/>
    <w:rsid w:val="00AB1F40"/>
    <w:rsid w:val="00AC414D"/>
    <w:rsid w:val="00AC5830"/>
    <w:rsid w:val="00AD03D5"/>
    <w:rsid w:val="00AD1ABD"/>
    <w:rsid w:val="00AD46FD"/>
    <w:rsid w:val="00AE57F2"/>
    <w:rsid w:val="00AF0345"/>
    <w:rsid w:val="00AF23BE"/>
    <w:rsid w:val="00AF76FC"/>
    <w:rsid w:val="00AF7A57"/>
    <w:rsid w:val="00B01AEB"/>
    <w:rsid w:val="00B07E53"/>
    <w:rsid w:val="00B10297"/>
    <w:rsid w:val="00B10D6B"/>
    <w:rsid w:val="00B159E5"/>
    <w:rsid w:val="00B227C9"/>
    <w:rsid w:val="00B22D83"/>
    <w:rsid w:val="00B27B02"/>
    <w:rsid w:val="00B30FA4"/>
    <w:rsid w:val="00B31944"/>
    <w:rsid w:val="00B32531"/>
    <w:rsid w:val="00B32A13"/>
    <w:rsid w:val="00B44BF0"/>
    <w:rsid w:val="00B60F2F"/>
    <w:rsid w:val="00B6175F"/>
    <w:rsid w:val="00B67971"/>
    <w:rsid w:val="00B8050A"/>
    <w:rsid w:val="00B87762"/>
    <w:rsid w:val="00B912AF"/>
    <w:rsid w:val="00B9310C"/>
    <w:rsid w:val="00BA542C"/>
    <w:rsid w:val="00BA7916"/>
    <w:rsid w:val="00BA7D9D"/>
    <w:rsid w:val="00BC7FAB"/>
    <w:rsid w:val="00BD7B72"/>
    <w:rsid w:val="00BE611A"/>
    <w:rsid w:val="00BE7B76"/>
    <w:rsid w:val="00BF3E6D"/>
    <w:rsid w:val="00BF4652"/>
    <w:rsid w:val="00BF4CB7"/>
    <w:rsid w:val="00C023FD"/>
    <w:rsid w:val="00C030DA"/>
    <w:rsid w:val="00C04945"/>
    <w:rsid w:val="00C073AD"/>
    <w:rsid w:val="00C122D2"/>
    <w:rsid w:val="00C23779"/>
    <w:rsid w:val="00C2450A"/>
    <w:rsid w:val="00C26B94"/>
    <w:rsid w:val="00C27C00"/>
    <w:rsid w:val="00C33580"/>
    <w:rsid w:val="00C3557A"/>
    <w:rsid w:val="00C357FF"/>
    <w:rsid w:val="00C42C07"/>
    <w:rsid w:val="00C471ED"/>
    <w:rsid w:val="00C511AB"/>
    <w:rsid w:val="00C5145F"/>
    <w:rsid w:val="00C55085"/>
    <w:rsid w:val="00C62605"/>
    <w:rsid w:val="00C626C0"/>
    <w:rsid w:val="00C647BC"/>
    <w:rsid w:val="00C742CE"/>
    <w:rsid w:val="00C8085E"/>
    <w:rsid w:val="00C87EC1"/>
    <w:rsid w:val="00C93B2D"/>
    <w:rsid w:val="00C96AB1"/>
    <w:rsid w:val="00CA19EF"/>
    <w:rsid w:val="00CB1992"/>
    <w:rsid w:val="00CB2090"/>
    <w:rsid w:val="00CB4CA8"/>
    <w:rsid w:val="00CB6A82"/>
    <w:rsid w:val="00CC2ADF"/>
    <w:rsid w:val="00CC3EB9"/>
    <w:rsid w:val="00CC7B18"/>
    <w:rsid w:val="00CD36A8"/>
    <w:rsid w:val="00CD64F6"/>
    <w:rsid w:val="00CD7B21"/>
    <w:rsid w:val="00D00079"/>
    <w:rsid w:val="00D0021F"/>
    <w:rsid w:val="00D055D4"/>
    <w:rsid w:val="00D06F31"/>
    <w:rsid w:val="00D11A8F"/>
    <w:rsid w:val="00D13EA2"/>
    <w:rsid w:val="00D14BA1"/>
    <w:rsid w:val="00D20016"/>
    <w:rsid w:val="00D20F7A"/>
    <w:rsid w:val="00D22483"/>
    <w:rsid w:val="00D3321D"/>
    <w:rsid w:val="00D35312"/>
    <w:rsid w:val="00D42815"/>
    <w:rsid w:val="00D43D99"/>
    <w:rsid w:val="00D45A46"/>
    <w:rsid w:val="00D518D9"/>
    <w:rsid w:val="00D63DBE"/>
    <w:rsid w:val="00D72831"/>
    <w:rsid w:val="00D76916"/>
    <w:rsid w:val="00D83541"/>
    <w:rsid w:val="00D855E0"/>
    <w:rsid w:val="00D85C03"/>
    <w:rsid w:val="00D86683"/>
    <w:rsid w:val="00D86B95"/>
    <w:rsid w:val="00D95788"/>
    <w:rsid w:val="00D97ECF"/>
    <w:rsid w:val="00DA033B"/>
    <w:rsid w:val="00DA5028"/>
    <w:rsid w:val="00DA5E6D"/>
    <w:rsid w:val="00DB04F7"/>
    <w:rsid w:val="00DB4128"/>
    <w:rsid w:val="00DB5C6E"/>
    <w:rsid w:val="00DC24B4"/>
    <w:rsid w:val="00DD28C8"/>
    <w:rsid w:val="00DD72E9"/>
    <w:rsid w:val="00DF1EAC"/>
    <w:rsid w:val="00DF1F29"/>
    <w:rsid w:val="00DF25D5"/>
    <w:rsid w:val="00E008F1"/>
    <w:rsid w:val="00E16BC0"/>
    <w:rsid w:val="00E26348"/>
    <w:rsid w:val="00E3108E"/>
    <w:rsid w:val="00E376B8"/>
    <w:rsid w:val="00E41827"/>
    <w:rsid w:val="00E41EDE"/>
    <w:rsid w:val="00E42AE2"/>
    <w:rsid w:val="00E50402"/>
    <w:rsid w:val="00E50A31"/>
    <w:rsid w:val="00E51D87"/>
    <w:rsid w:val="00E57EEC"/>
    <w:rsid w:val="00E666F9"/>
    <w:rsid w:val="00E72675"/>
    <w:rsid w:val="00E7334B"/>
    <w:rsid w:val="00E73C40"/>
    <w:rsid w:val="00E76797"/>
    <w:rsid w:val="00E803EB"/>
    <w:rsid w:val="00E86CE4"/>
    <w:rsid w:val="00E907B6"/>
    <w:rsid w:val="00E9092D"/>
    <w:rsid w:val="00E92E43"/>
    <w:rsid w:val="00E93977"/>
    <w:rsid w:val="00E93BC4"/>
    <w:rsid w:val="00EA1609"/>
    <w:rsid w:val="00EA1881"/>
    <w:rsid w:val="00EA495C"/>
    <w:rsid w:val="00EB5887"/>
    <w:rsid w:val="00EB6120"/>
    <w:rsid w:val="00EC1489"/>
    <w:rsid w:val="00EC3D8D"/>
    <w:rsid w:val="00EC7EAD"/>
    <w:rsid w:val="00ED0B96"/>
    <w:rsid w:val="00ED566A"/>
    <w:rsid w:val="00EE3E21"/>
    <w:rsid w:val="00EE4C45"/>
    <w:rsid w:val="00EE516E"/>
    <w:rsid w:val="00EF00E5"/>
    <w:rsid w:val="00EF6A1F"/>
    <w:rsid w:val="00EF6C73"/>
    <w:rsid w:val="00F1175B"/>
    <w:rsid w:val="00F137EF"/>
    <w:rsid w:val="00F25B10"/>
    <w:rsid w:val="00F2780E"/>
    <w:rsid w:val="00F3382C"/>
    <w:rsid w:val="00F41C6C"/>
    <w:rsid w:val="00F42D8A"/>
    <w:rsid w:val="00F4354E"/>
    <w:rsid w:val="00F45A15"/>
    <w:rsid w:val="00F54461"/>
    <w:rsid w:val="00F554E6"/>
    <w:rsid w:val="00F56989"/>
    <w:rsid w:val="00F600F7"/>
    <w:rsid w:val="00F613E5"/>
    <w:rsid w:val="00F63FD5"/>
    <w:rsid w:val="00F759A4"/>
    <w:rsid w:val="00F76CF7"/>
    <w:rsid w:val="00F85CAD"/>
    <w:rsid w:val="00F94031"/>
    <w:rsid w:val="00F945D8"/>
    <w:rsid w:val="00F95522"/>
    <w:rsid w:val="00FA1A68"/>
    <w:rsid w:val="00FA2C5E"/>
    <w:rsid w:val="00FA72C5"/>
    <w:rsid w:val="00FB6D38"/>
    <w:rsid w:val="00FC69C1"/>
    <w:rsid w:val="00FD28D5"/>
    <w:rsid w:val="00FE1947"/>
    <w:rsid w:val="00FE6479"/>
    <w:rsid w:val="00FE6CDA"/>
    <w:rsid w:val="00FE6FAE"/>
    <w:rsid w:val="00FE7F99"/>
    <w:rsid w:val="00FF2C3D"/>
    <w:rsid w:val="00FF5E04"/>
    <w:rsid w:val="022D288C"/>
    <w:rsid w:val="09C13E54"/>
    <w:rsid w:val="11D56862"/>
    <w:rsid w:val="19625E7D"/>
    <w:rsid w:val="1A6A2BE0"/>
    <w:rsid w:val="1F7F5AA9"/>
    <w:rsid w:val="206703AC"/>
    <w:rsid w:val="250227D0"/>
    <w:rsid w:val="2B9C2BD7"/>
    <w:rsid w:val="2EC333C5"/>
    <w:rsid w:val="3115726E"/>
    <w:rsid w:val="3298515E"/>
    <w:rsid w:val="39CF40C6"/>
    <w:rsid w:val="3FF664FA"/>
    <w:rsid w:val="42684869"/>
    <w:rsid w:val="444F7919"/>
    <w:rsid w:val="492C6FD9"/>
    <w:rsid w:val="4ABD382C"/>
    <w:rsid w:val="4B284432"/>
    <w:rsid w:val="4DE07BD1"/>
    <w:rsid w:val="4F4055E5"/>
    <w:rsid w:val="50605441"/>
    <w:rsid w:val="5079457D"/>
    <w:rsid w:val="530B0215"/>
    <w:rsid w:val="59777D1E"/>
    <w:rsid w:val="5E327A1D"/>
    <w:rsid w:val="6241539F"/>
    <w:rsid w:val="63014E7B"/>
    <w:rsid w:val="6C984F95"/>
    <w:rsid w:val="6F6837B3"/>
    <w:rsid w:val="6F697E0C"/>
    <w:rsid w:val="72F011BF"/>
    <w:rsid w:val="73C67727"/>
    <w:rsid w:val="7B7354E6"/>
    <w:rsid w:val="7BAE0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52F58277-FA1D-4F13-A75F-A95759AE3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uiPriority w:val="1"/>
    <w:qFormat/>
    <w:pPr>
      <w:widowControl w:val="0"/>
      <w:autoSpaceDE w:val="0"/>
      <w:autoSpaceDN w:val="0"/>
    </w:pPr>
    <w:rPr>
      <w:rFonts w:ascii="宋体" w:hAnsi="宋体" w:cs="宋体"/>
      <w:sz w:val="22"/>
      <w:szCs w:val="22"/>
      <w:lang w:eastAsia="en-US"/>
    </w:rPr>
  </w:style>
  <w:style w:type="paragraph" w:styleId="1">
    <w:name w:val="heading 1"/>
    <w:basedOn w:val="a4"/>
    <w:next w:val="a4"/>
    <w:uiPriority w:val="1"/>
    <w:qFormat/>
    <w:pPr>
      <w:ind w:left="1006" w:right="866"/>
      <w:jc w:val="center"/>
      <w:outlineLvl w:val="0"/>
    </w:pPr>
    <w:rPr>
      <w:b/>
      <w:bCs/>
      <w:sz w:val="28"/>
      <w:szCs w:val="28"/>
    </w:rPr>
  </w:style>
  <w:style w:type="paragraph" w:styleId="2">
    <w:name w:val="heading 2"/>
    <w:basedOn w:val="a4"/>
    <w:next w:val="a4"/>
    <w:uiPriority w:val="1"/>
    <w:qFormat/>
    <w:pPr>
      <w:spacing w:before="9"/>
      <w:ind w:left="120"/>
      <w:jc w:val="center"/>
      <w:outlineLvl w:val="1"/>
    </w:pPr>
    <w:rPr>
      <w:sz w:val="24"/>
      <w:szCs w:val="24"/>
    </w:rPr>
  </w:style>
  <w:style w:type="paragraph" w:styleId="3">
    <w:name w:val="heading 3"/>
    <w:basedOn w:val="a4"/>
    <w:next w:val="a4"/>
    <w:uiPriority w:val="1"/>
    <w:qFormat/>
    <w:pPr>
      <w:ind w:left="536"/>
      <w:outlineLvl w:val="2"/>
    </w:pPr>
    <w:rPr>
      <w:rFonts w:ascii="黑体" w:eastAsia="黑体" w:hAnsi="黑体" w:cs="黑体"/>
      <w:b/>
      <w:bCs/>
      <w:sz w:val="21"/>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annotation text"/>
    <w:basedOn w:val="a4"/>
    <w:link w:val="Char"/>
    <w:uiPriority w:val="99"/>
    <w:unhideWhenUsed/>
    <w:qFormat/>
  </w:style>
  <w:style w:type="paragraph" w:styleId="a9">
    <w:name w:val="Body Text"/>
    <w:basedOn w:val="a4"/>
    <w:link w:val="Char0"/>
    <w:uiPriority w:val="1"/>
    <w:qFormat/>
    <w:rPr>
      <w:sz w:val="21"/>
      <w:szCs w:val="21"/>
    </w:rPr>
  </w:style>
  <w:style w:type="paragraph" w:styleId="aa">
    <w:name w:val="Date"/>
    <w:basedOn w:val="a4"/>
    <w:next w:val="a4"/>
    <w:link w:val="Char1"/>
    <w:uiPriority w:val="99"/>
    <w:semiHidden/>
    <w:unhideWhenUsed/>
    <w:qFormat/>
    <w:pPr>
      <w:ind w:leftChars="2500" w:left="100"/>
    </w:pPr>
  </w:style>
  <w:style w:type="paragraph" w:styleId="ab">
    <w:name w:val="Balloon Text"/>
    <w:basedOn w:val="a4"/>
    <w:link w:val="Char2"/>
    <w:uiPriority w:val="99"/>
    <w:semiHidden/>
    <w:unhideWhenUsed/>
    <w:qFormat/>
    <w:rPr>
      <w:sz w:val="18"/>
      <w:szCs w:val="18"/>
    </w:rPr>
  </w:style>
  <w:style w:type="paragraph" w:styleId="ac">
    <w:name w:val="footer"/>
    <w:basedOn w:val="a4"/>
    <w:link w:val="Char3"/>
    <w:uiPriority w:val="99"/>
    <w:unhideWhenUsed/>
    <w:qFormat/>
    <w:pPr>
      <w:tabs>
        <w:tab w:val="center" w:pos="4153"/>
        <w:tab w:val="right" w:pos="8306"/>
      </w:tabs>
      <w:snapToGrid w:val="0"/>
    </w:pPr>
    <w:rPr>
      <w:sz w:val="18"/>
      <w:szCs w:val="18"/>
    </w:rPr>
  </w:style>
  <w:style w:type="paragraph" w:styleId="ad">
    <w:name w:val="header"/>
    <w:basedOn w:val="a4"/>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Normal (Web)"/>
    <w:basedOn w:val="a4"/>
    <w:uiPriority w:val="99"/>
    <w:unhideWhenUsed/>
    <w:qFormat/>
    <w:pPr>
      <w:autoSpaceDE/>
      <w:autoSpaceDN/>
      <w:spacing w:before="100" w:beforeAutospacing="1" w:after="100" w:afterAutospacing="1"/>
    </w:pPr>
    <w:rPr>
      <w:rFonts w:asciiTheme="minorHAnsi" w:eastAsiaTheme="minorEastAsia" w:hAnsiTheme="minorHAnsi" w:cs="Times New Roman"/>
      <w:sz w:val="24"/>
      <w:szCs w:val="24"/>
      <w:lang w:eastAsia="zh-CN"/>
    </w:rPr>
  </w:style>
  <w:style w:type="paragraph" w:styleId="af">
    <w:name w:val="annotation subject"/>
    <w:basedOn w:val="a8"/>
    <w:next w:val="a8"/>
    <w:link w:val="Char5"/>
    <w:uiPriority w:val="99"/>
    <w:semiHidden/>
    <w:unhideWhenUsed/>
    <w:qFormat/>
    <w:rPr>
      <w:b/>
      <w:bCs/>
    </w:rPr>
  </w:style>
  <w:style w:type="table" w:styleId="af0">
    <w:name w:val="Table Grid"/>
    <w:basedOn w:val="a6"/>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basedOn w:val="a5"/>
    <w:uiPriority w:val="99"/>
    <w:semiHidden/>
    <w:unhideWhenUsed/>
    <w:qFormat/>
    <w:rPr>
      <w:color w:val="0000FF"/>
      <w:u w:val="single"/>
    </w:rPr>
  </w:style>
  <w:style w:type="character" w:styleId="af2">
    <w:name w:val="annotation reference"/>
    <w:basedOn w:val="a5"/>
    <w:uiPriority w:val="99"/>
    <w:semiHidden/>
    <w:unhideWhenUsed/>
    <w:qFormat/>
    <w:rPr>
      <w:sz w:val="21"/>
      <w:szCs w:val="21"/>
    </w:rPr>
  </w:style>
  <w:style w:type="character" w:styleId="af3">
    <w:name w:val="footnote reference"/>
    <w:semiHidden/>
    <w:qFormat/>
    <w:rPr>
      <w:rFonts w:ascii="宋体" w:eastAsia="宋体" w:hAnsi="宋体" w:cs="Times New Roman"/>
      <w:spacing w:val="0"/>
      <w:sz w:val="18"/>
      <w:vertAlign w:val="superscript"/>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4">
    <w:name w:val="List Paragraph"/>
    <w:basedOn w:val="a4"/>
    <w:uiPriority w:val="1"/>
    <w:qFormat/>
    <w:pPr>
      <w:ind w:left="118"/>
    </w:pPr>
  </w:style>
  <w:style w:type="paragraph" w:customStyle="1" w:styleId="TableParagraph">
    <w:name w:val="Table Paragraph"/>
    <w:basedOn w:val="a4"/>
    <w:uiPriority w:val="1"/>
    <w:qFormat/>
    <w:pPr>
      <w:spacing w:before="8"/>
      <w:jc w:val="center"/>
    </w:pPr>
  </w:style>
  <w:style w:type="character" w:customStyle="1" w:styleId="Char2">
    <w:name w:val="批注框文本 Char"/>
    <w:basedOn w:val="a5"/>
    <w:link w:val="ab"/>
    <w:uiPriority w:val="99"/>
    <w:semiHidden/>
    <w:qFormat/>
    <w:rPr>
      <w:rFonts w:ascii="宋体" w:eastAsia="宋体" w:hAnsi="宋体" w:cs="宋体"/>
      <w:sz w:val="18"/>
      <w:szCs w:val="18"/>
    </w:rPr>
  </w:style>
  <w:style w:type="character" w:customStyle="1" w:styleId="Char4">
    <w:name w:val="页眉 Char"/>
    <w:basedOn w:val="a5"/>
    <w:link w:val="ad"/>
    <w:uiPriority w:val="99"/>
    <w:qFormat/>
    <w:rPr>
      <w:rFonts w:ascii="宋体" w:eastAsia="宋体" w:hAnsi="宋体" w:cs="宋体"/>
      <w:sz w:val="18"/>
      <w:szCs w:val="18"/>
    </w:rPr>
  </w:style>
  <w:style w:type="character" w:customStyle="1" w:styleId="Char3">
    <w:name w:val="页脚 Char"/>
    <w:basedOn w:val="a5"/>
    <w:link w:val="ac"/>
    <w:uiPriority w:val="99"/>
    <w:qFormat/>
    <w:rPr>
      <w:rFonts w:ascii="宋体" w:eastAsia="宋体" w:hAnsi="宋体" w:cs="宋体"/>
      <w:sz w:val="18"/>
      <w:szCs w:val="18"/>
    </w:rPr>
  </w:style>
  <w:style w:type="paragraph" w:customStyle="1" w:styleId="af5">
    <w:name w:val="段"/>
    <w:basedOn w:val="a4"/>
    <w:link w:val="Char6"/>
    <w:qFormat/>
    <w:pPr>
      <w:autoSpaceDE/>
      <w:autoSpaceDN/>
      <w:ind w:firstLine="425"/>
      <w:jc w:val="both"/>
    </w:pPr>
    <w:rPr>
      <w:rFonts w:hAnsi="Times New Roman" w:cs="Times New Roman"/>
      <w:kern w:val="2"/>
      <w:sz w:val="21"/>
      <w:szCs w:val="20"/>
      <w:lang w:eastAsia="zh-CN"/>
    </w:rPr>
  </w:style>
  <w:style w:type="paragraph" w:customStyle="1" w:styleId="af6">
    <w:name w:val="章标题"/>
    <w:next w:val="af5"/>
    <w:qFormat/>
    <w:pPr>
      <w:spacing w:beforeLines="50" w:afterLines="50"/>
      <w:jc w:val="both"/>
      <w:outlineLvl w:val="1"/>
    </w:pPr>
    <w:rPr>
      <w:rFonts w:ascii="黑体" w:eastAsia="黑体"/>
      <w:sz w:val="21"/>
    </w:rPr>
  </w:style>
  <w:style w:type="character" w:customStyle="1" w:styleId="Char0">
    <w:name w:val="正文文本 Char"/>
    <w:basedOn w:val="a5"/>
    <w:link w:val="a9"/>
    <w:uiPriority w:val="1"/>
    <w:qFormat/>
    <w:rPr>
      <w:rFonts w:ascii="宋体" w:eastAsia="宋体" w:hAnsi="宋体" w:cs="宋体"/>
      <w:sz w:val="21"/>
      <w:szCs w:val="21"/>
    </w:rPr>
  </w:style>
  <w:style w:type="character" w:customStyle="1" w:styleId="Char">
    <w:name w:val="批注文字 Char"/>
    <w:basedOn w:val="a5"/>
    <w:link w:val="a8"/>
    <w:uiPriority w:val="99"/>
    <w:qFormat/>
    <w:rPr>
      <w:rFonts w:ascii="宋体" w:eastAsia="宋体" w:hAnsi="宋体" w:cs="宋体"/>
    </w:rPr>
  </w:style>
  <w:style w:type="character" w:customStyle="1" w:styleId="Char5">
    <w:name w:val="批注主题 Char"/>
    <w:basedOn w:val="Char"/>
    <w:link w:val="af"/>
    <w:uiPriority w:val="99"/>
    <w:semiHidden/>
    <w:qFormat/>
    <w:rPr>
      <w:rFonts w:ascii="宋体" w:eastAsia="宋体" w:hAnsi="宋体" w:cs="宋体"/>
      <w:b/>
      <w:bCs/>
    </w:rPr>
  </w:style>
  <w:style w:type="paragraph" w:customStyle="1" w:styleId="af7">
    <w:name w:val="一级条标题"/>
    <w:next w:val="af5"/>
    <w:qFormat/>
    <w:pPr>
      <w:spacing w:beforeLines="50" w:afterLines="50"/>
      <w:outlineLvl w:val="2"/>
    </w:pPr>
    <w:rPr>
      <w:rFonts w:ascii="黑体" w:eastAsia="黑体"/>
      <w:sz w:val="21"/>
      <w:szCs w:val="21"/>
    </w:rPr>
  </w:style>
  <w:style w:type="character" w:customStyle="1" w:styleId="Char6">
    <w:name w:val="段 Char"/>
    <w:link w:val="af5"/>
    <w:qFormat/>
    <w:rPr>
      <w:rFonts w:ascii="宋体" w:eastAsia="宋体" w:hAnsi="Times New Roman" w:cs="Times New Roman"/>
      <w:kern w:val="2"/>
      <w:sz w:val="21"/>
      <w:szCs w:val="20"/>
      <w:lang w:eastAsia="zh-CN"/>
    </w:rPr>
  </w:style>
  <w:style w:type="paragraph" w:customStyle="1" w:styleId="af8">
    <w:name w:val="标准书脚_奇数页"/>
    <w:qFormat/>
    <w:pPr>
      <w:spacing w:before="120"/>
      <w:ind w:right="198"/>
      <w:jc w:val="right"/>
    </w:pPr>
    <w:rPr>
      <w:rFonts w:ascii="宋体"/>
      <w:sz w:val="18"/>
      <w:szCs w:val="18"/>
    </w:rPr>
  </w:style>
  <w:style w:type="paragraph" w:customStyle="1" w:styleId="af9">
    <w:name w:val="标准书眉_奇数页"/>
    <w:next w:val="a4"/>
    <w:qFormat/>
    <w:pPr>
      <w:tabs>
        <w:tab w:val="center" w:pos="4154"/>
        <w:tab w:val="right" w:pos="8306"/>
      </w:tabs>
      <w:spacing w:after="220"/>
      <w:jc w:val="right"/>
    </w:pPr>
    <w:rPr>
      <w:rFonts w:ascii="黑体" w:eastAsia="黑体"/>
      <w:sz w:val="21"/>
      <w:szCs w:val="21"/>
    </w:rPr>
  </w:style>
  <w:style w:type="character" w:styleId="afa">
    <w:name w:val="Placeholder Text"/>
    <w:basedOn w:val="a5"/>
    <w:uiPriority w:val="99"/>
    <w:unhideWhenUsed/>
    <w:qFormat/>
    <w:rPr>
      <w:color w:val="808080"/>
    </w:rPr>
  </w:style>
  <w:style w:type="paragraph" w:customStyle="1" w:styleId="10">
    <w:name w:val="修订1"/>
    <w:hidden/>
    <w:uiPriority w:val="99"/>
    <w:semiHidden/>
    <w:qFormat/>
    <w:rPr>
      <w:rFonts w:ascii="宋体" w:hAnsi="宋体" w:cs="宋体"/>
      <w:sz w:val="22"/>
      <w:szCs w:val="22"/>
      <w:lang w:eastAsia="en-US"/>
    </w:rPr>
  </w:style>
  <w:style w:type="paragraph" w:customStyle="1" w:styleId="a2">
    <w:name w:val="标准文件_章标题"/>
    <w:next w:val="a4"/>
    <w:qFormat/>
    <w:pPr>
      <w:numPr>
        <w:ilvl w:val="1"/>
        <w:numId w:val="1"/>
      </w:numPr>
      <w:spacing w:beforeLines="100" w:before="100" w:afterLines="100" w:after="100"/>
      <w:jc w:val="both"/>
      <w:outlineLvl w:val="0"/>
    </w:pPr>
    <w:rPr>
      <w:rFonts w:ascii="黑体" w:eastAsia="黑体"/>
      <w:sz w:val="21"/>
    </w:rPr>
  </w:style>
  <w:style w:type="paragraph" w:customStyle="1" w:styleId="afb">
    <w:name w:val="标准文件_一级条标题"/>
    <w:basedOn w:val="a2"/>
    <w:next w:val="a4"/>
    <w:qFormat/>
    <w:pPr>
      <w:spacing w:beforeLines="50" w:before="50" w:afterLines="50" w:after="50"/>
      <w:outlineLvl w:val="1"/>
    </w:pPr>
  </w:style>
  <w:style w:type="paragraph" w:customStyle="1" w:styleId="afc">
    <w:name w:val="标准文件_段"/>
    <w:link w:val="Char7"/>
    <w:qFormat/>
    <w:pPr>
      <w:autoSpaceDE w:val="0"/>
      <w:autoSpaceDN w:val="0"/>
      <w:ind w:firstLineChars="200" w:firstLine="200"/>
      <w:jc w:val="both"/>
    </w:pPr>
    <w:rPr>
      <w:rFonts w:ascii="宋体"/>
      <w:sz w:val="21"/>
    </w:rPr>
  </w:style>
  <w:style w:type="character" w:customStyle="1" w:styleId="Char7">
    <w:name w:val="标准文件_段 Char"/>
    <w:link w:val="afc"/>
    <w:qFormat/>
    <w:rPr>
      <w:rFonts w:ascii="宋体" w:eastAsia="宋体" w:hAnsi="Times New Roman" w:cs="Times New Roman"/>
      <w:sz w:val="21"/>
    </w:rPr>
  </w:style>
  <w:style w:type="paragraph" w:customStyle="1" w:styleId="afd">
    <w:name w:val="标准文件_二级条标题"/>
    <w:next w:val="afc"/>
    <w:qFormat/>
    <w:pPr>
      <w:widowControl w:val="0"/>
      <w:spacing w:beforeLines="50" w:before="50" w:afterLines="50" w:after="50"/>
      <w:jc w:val="both"/>
      <w:outlineLvl w:val="2"/>
    </w:pPr>
    <w:rPr>
      <w:rFonts w:ascii="黑体" w:eastAsia="黑体"/>
      <w:sz w:val="21"/>
    </w:rPr>
  </w:style>
  <w:style w:type="paragraph" w:customStyle="1" w:styleId="afe">
    <w:name w:val="标准文件_三级条标题"/>
    <w:basedOn w:val="afd"/>
    <w:next w:val="afc"/>
    <w:qFormat/>
    <w:pPr>
      <w:widowControl/>
      <w:outlineLvl w:val="3"/>
    </w:pPr>
  </w:style>
  <w:style w:type="paragraph" w:customStyle="1" w:styleId="aff">
    <w:name w:val="标准文件_四级条标题"/>
    <w:next w:val="afc"/>
    <w:qFormat/>
    <w:pPr>
      <w:widowControl w:val="0"/>
      <w:spacing w:beforeLines="50" w:before="50" w:afterLines="50" w:after="50"/>
      <w:jc w:val="both"/>
      <w:outlineLvl w:val="4"/>
    </w:pPr>
    <w:rPr>
      <w:rFonts w:ascii="黑体" w:eastAsia="黑体"/>
      <w:sz w:val="21"/>
    </w:rPr>
  </w:style>
  <w:style w:type="paragraph" w:customStyle="1" w:styleId="aff0">
    <w:name w:val="标准文件_五级条标题"/>
    <w:next w:val="afc"/>
    <w:qFormat/>
    <w:pPr>
      <w:widowControl w:val="0"/>
      <w:spacing w:beforeLines="50" w:before="50" w:afterLines="50" w:after="50"/>
      <w:jc w:val="both"/>
      <w:outlineLvl w:val="5"/>
    </w:pPr>
    <w:rPr>
      <w:rFonts w:ascii="黑体" w:eastAsia="黑体"/>
      <w:sz w:val="21"/>
    </w:rPr>
  </w:style>
  <w:style w:type="paragraph" w:customStyle="1" w:styleId="aff1">
    <w:name w:val="前言标题"/>
    <w:next w:val="a4"/>
    <w:qFormat/>
    <w:pPr>
      <w:shd w:val="clear" w:color="FFFFFF" w:fill="FFFFFF"/>
      <w:spacing w:before="540" w:after="600"/>
      <w:jc w:val="center"/>
      <w:outlineLvl w:val="0"/>
    </w:pPr>
    <w:rPr>
      <w:rFonts w:ascii="黑体" w:eastAsia="黑体"/>
      <w:sz w:val="32"/>
    </w:rPr>
  </w:style>
  <w:style w:type="paragraph" w:customStyle="1" w:styleId="a3">
    <w:name w:val="标准文件_二级无标题"/>
    <w:basedOn w:val="afd"/>
    <w:qFormat/>
    <w:pPr>
      <w:numPr>
        <w:ilvl w:val="3"/>
        <w:numId w:val="1"/>
      </w:numPr>
      <w:spacing w:beforeLines="0" w:before="0" w:afterLines="0" w:after="0"/>
      <w:outlineLvl w:val="9"/>
    </w:pPr>
    <w:rPr>
      <w:rFonts w:ascii="宋体" w:eastAsia="宋体"/>
    </w:rPr>
  </w:style>
  <w:style w:type="paragraph" w:customStyle="1" w:styleId="a0">
    <w:name w:val="标准文件_数字编号列项（二级）"/>
    <w:qFormat/>
    <w:pPr>
      <w:numPr>
        <w:ilvl w:val="1"/>
        <w:numId w:val="2"/>
      </w:numPr>
      <w:jc w:val="both"/>
    </w:pPr>
    <w:rPr>
      <w:rFonts w:ascii="宋体"/>
      <w:sz w:val="21"/>
    </w:rPr>
  </w:style>
  <w:style w:type="paragraph" w:customStyle="1" w:styleId="a1">
    <w:name w:val="标准文件_编号列项（三级）"/>
    <w:qFormat/>
    <w:pPr>
      <w:numPr>
        <w:ilvl w:val="2"/>
        <w:numId w:val="2"/>
      </w:numPr>
    </w:pPr>
    <w:rPr>
      <w:rFonts w:ascii="宋体"/>
      <w:sz w:val="21"/>
    </w:rPr>
  </w:style>
  <w:style w:type="paragraph" w:customStyle="1" w:styleId="a">
    <w:name w:val="标准文件_字母编号列项（一级）"/>
    <w:qFormat/>
    <w:pPr>
      <w:numPr>
        <w:numId w:val="2"/>
      </w:numPr>
      <w:jc w:val="both"/>
    </w:pPr>
    <w:rPr>
      <w:rFonts w:ascii="宋体"/>
      <w:sz w:val="21"/>
    </w:rPr>
  </w:style>
  <w:style w:type="paragraph" w:customStyle="1" w:styleId="aff2">
    <w:name w:val="标准文件_脚注内容"/>
    <w:basedOn w:val="afc"/>
    <w:qFormat/>
    <w:pPr>
      <w:ind w:leftChars="200" w:left="400" w:hangingChars="200" w:hanging="200"/>
    </w:pPr>
    <w:rPr>
      <w:sz w:val="15"/>
    </w:rPr>
  </w:style>
  <w:style w:type="paragraph" w:customStyle="1" w:styleId="aff3">
    <w:name w:val="二级条标题"/>
    <w:basedOn w:val="af7"/>
    <w:next w:val="af5"/>
    <w:qFormat/>
    <w:pPr>
      <w:spacing w:before="50" w:after="50"/>
      <w:outlineLvl w:val="3"/>
    </w:pPr>
  </w:style>
  <w:style w:type="paragraph" w:customStyle="1" w:styleId="aff4">
    <w:name w:val="三级条标题"/>
    <w:basedOn w:val="aff3"/>
    <w:next w:val="af5"/>
    <w:qFormat/>
    <w:pPr>
      <w:outlineLvl w:val="4"/>
    </w:pPr>
  </w:style>
  <w:style w:type="paragraph" w:customStyle="1" w:styleId="aff5">
    <w:name w:val="四级条标题"/>
    <w:basedOn w:val="aff4"/>
    <w:next w:val="af5"/>
    <w:qFormat/>
    <w:pPr>
      <w:outlineLvl w:val="5"/>
    </w:pPr>
  </w:style>
  <w:style w:type="paragraph" w:customStyle="1" w:styleId="aff6">
    <w:name w:val="五级条标题"/>
    <w:basedOn w:val="aff5"/>
    <w:next w:val="af5"/>
    <w:qFormat/>
    <w:pPr>
      <w:outlineLvl w:val="6"/>
    </w:pPr>
  </w:style>
  <w:style w:type="character" w:customStyle="1" w:styleId="Char1">
    <w:name w:val="日期 Char"/>
    <w:basedOn w:val="a5"/>
    <w:link w:val="aa"/>
    <w:uiPriority w:val="99"/>
    <w:semiHidden/>
    <w:qFormat/>
    <w:rPr>
      <w:rFonts w:ascii="宋体" w:eastAsia="宋体" w:hAnsi="宋体" w:cs="宋体"/>
      <w:sz w:val="22"/>
      <w:szCs w:val="22"/>
      <w:lang w:eastAsia="en-US"/>
    </w:rPr>
  </w:style>
  <w:style w:type="character" w:customStyle="1" w:styleId="Char8">
    <w:name w:val="附录公式 Char"/>
    <w:basedOn w:val="Char6"/>
    <w:link w:val="aff7"/>
    <w:qFormat/>
    <w:rPr>
      <w:rFonts w:ascii="宋体" w:eastAsia="宋体" w:hAnsi="Times New Roman" w:cs="Times New Roman"/>
      <w:kern w:val="2"/>
      <w:sz w:val="21"/>
      <w:szCs w:val="20"/>
      <w:lang w:eastAsia="zh-CN"/>
    </w:rPr>
  </w:style>
  <w:style w:type="paragraph" w:customStyle="1" w:styleId="aff7">
    <w:name w:val="附录公式"/>
    <w:basedOn w:val="af5"/>
    <w:next w:val="af5"/>
    <w:link w:val="Char8"/>
    <w:qFormat/>
    <w:pPr>
      <w:widowControl/>
      <w:tabs>
        <w:tab w:val="center" w:pos="4201"/>
        <w:tab w:val="right" w:leader="dot" w:pos="9298"/>
      </w:tabs>
      <w:autoSpaceDE w:val="0"/>
      <w:autoSpaceDN w:val="0"/>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BB3E21-DC47-4A29-B8FA-97645CA40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464</Words>
  <Characters>2645</Characters>
  <Application>Microsoft Office Word</Application>
  <DocSecurity>0</DocSecurity>
  <Lines>22</Lines>
  <Paragraphs>6</Paragraphs>
  <ScaleCrop>false</ScaleCrop>
  <Company>BRICI</Company>
  <LinksUpToDate>false</LinksUpToDate>
  <CharactersWithSpaces>3103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 Yu</dc:creator>
  <cp:lastModifiedBy>shen li</cp:lastModifiedBy>
  <cp:revision>79</cp:revision>
  <cp:lastPrinted>2023-09-23T02:12:00Z</cp:lastPrinted>
  <dcterms:created xsi:type="dcterms:W3CDTF">2023-04-10T02:29:00Z</dcterms:created>
  <dcterms:modified xsi:type="dcterms:W3CDTF">2023-09-25T12:20:00Z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2020-07-08T00:00:00Z</vt:filetime>
  </property>
  <property fmtid="{D5CDD505-2E9C-101B-9397-08002B2CF9AE}" pid="3" name="Creator">
    <vt:lpwstr>Aspose Ltd.</vt:lpwstr>
  </property>
  <property fmtid="{D5CDD505-2E9C-101B-9397-08002B2CF9AE}" pid="4" name="LastSaved">
    <vt:filetime>2020-08-26T00:00:00Z</vt:filetime>
  </property>
  <property fmtid="{D5CDD505-2E9C-101B-9397-08002B2CF9AE}" pid="5" name="KSOProductBuildVer">
    <vt:lpwstr>2052-11.8.2.12085</vt:lpwstr>
  </property>
  <property fmtid="{D5CDD505-2E9C-101B-9397-08002B2CF9AE}" pid="6" name="ICV">
    <vt:lpwstr>89E8CFAACF02428B80644CE616C529B6</vt:lpwstr>
  </property>
</Properties>
</file>